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Руководство пользователя. Медсестра прививочного кабинета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БЦ Медицина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>Exported on 04.08.2022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bookmarkStart w:id="1" w:name="_GoBack"/>
          <w:bookmarkEnd w:id="1"/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Список терминов и сокращений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Введение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АРМ медсестры прививочного кабинета. Медсестра прививочного кабинета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87617C" w:rsidRPr="00D841F2" w14:paraId="6791F24B" w14:textId="6EDD588B">
      <w:pPr>
        <w:pStyle w:val="Heading1"/>
      </w:pPr>
      <w:bookmarkStart w:id="2" w:name="scroll-bookmark-1"/>
      <w:bookmarkEnd w:id="2"/>
      <w:bookmarkStart w:id="3" w:name="scroll-bookmark-2"/>
      <w:bookmarkStart w:id="4" w:name="_Toc256000000"/>
      <w:r>
        <w:t>Список терминов и сокращений</w:t>
      </w:r>
      <w:bookmarkEnd w:id="4"/>
      <w:bookmarkEnd w:id="3"/>
    </w:p>
    <w:p>
      <w:pPr>
        <w:pStyle w:val="ScrollExpandMacroText"/>
      </w:pPr>
      <w:r>
        <w:t>Список терминов и сокращений</w:t>
      </w:r>
    </w:p>
    <w:p>
      <w:r>
        <w:rPr>
          <w:color w:val="000000"/>
        </w:rPr>
        <w:t>Термины и сокращения, используемые в документе, приведены ниже.</w:t>
      </w:r>
    </w:p>
    <w:tbl>
      <w:tblPr>
        <w:tblStyle w:val="ScrollTableNormal"/>
        <w:tblW w:w="5000" w:type="pct"/>
        <w:tblLook w:val="0020"/>
      </w:tblPr>
      <w:tblGrid>
        <w:gridCol w:w="1923"/>
        <w:gridCol w:w="6554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bookmarkStart w:id="5" w:name="scroll-bookmark-3"/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Термин, сокращение</w:t>
            </w:r>
            <w:bookmarkEnd w:id="5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АО "БАРС Груп"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Акционерное общество "БАРС Груп"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АРМ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Автоматизированное рабочее место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БЦЖ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BCG, бацилла Кальметта – Герена, выполняется при вакцинации против туберкулеза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МИБП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Медицинские иммунобиологические препараты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МКБ-10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Международная классификация болезней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Роспотребнадзор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ОГРН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Основной государственный регистрационный номер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Система, МИС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Медицинская информационная система "БАРС. 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Фамилия, имя, отчество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ЭМК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Электронная медицинская карта</w:t>
            </w:r>
          </w:p>
        </w:tc>
      </w:tr>
    </w:tbl>
    <w:p>
      <w:pPr>
        <w:pStyle w:val="Caption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t>1</w:t>
      </w:r>
      <w:r>
        <w:fldChar w:fldCharType="end"/>
      </w:r>
      <w:r>
        <w:t xml:space="preserve"> Список терминов и сокращений</w:t>
      </w:r>
    </w:p>
    <w:p>
      <w:pPr>
        <w:pStyle w:val="Heading1"/>
      </w:pPr>
      <w:bookmarkStart w:id="6" w:name="scroll-bookmark-4"/>
      <w:bookmarkStart w:id="7" w:name="_Toc256000001"/>
      <w:r>
        <w:t>Введение</w:t>
      </w:r>
      <w:bookmarkEnd w:id="7"/>
      <w:bookmarkEnd w:id="6"/>
    </w:p>
    <w:p>
      <w:r>
        <w:rPr>
          <w:color w:val="000000"/>
        </w:rPr>
        <w:t>АРМ медсестры прививочного кабинета предназначено для медсестры прививочного кабинета и позволяет выполнять следующие задачи:</w:t>
      </w:r>
    </w:p>
    <w:p>
      <w:pPr>
        <w:numPr>
          <w:ilvl w:val="0"/>
          <w:numId w:val="33"/>
        </w:numPr>
      </w:pPr>
      <w:r>
        <w:rPr>
          <w:color w:val="000000"/>
        </w:rPr>
        <w:t>учет проведенных прививок: учет выполненных и плановых прививок организован как специализированный раздел единой амбулаторной карты пациента, в котором в хронологическом порядке имеются документы о плановых и выполненных прививках;</w:t>
      </w:r>
    </w:p>
    <w:p>
      <w:pPr>
        <w:numPr>
          <w:ilvl w:val="0"/>
          <w:numId w:val="33"/>
        </w:numPr>
      </w:pPr>
      <w:r>
        <w:rPr>
          <w:color w:val="000000"/>
        </w:rPr>
        <w:t>ввод реакций и осложнений на проведенные прививки;</w:t>
      </w:r>
    </w:p>
    <w:p>
      <w:pPr>
        <w:numPr>
          <w:ilvl w:val="0"/>
          <w:numId w:val="33"/>
        </w:numPr>
      </w:pPr>
      <w:r>
        <w:rPr>
          <w:color w:val="000000"/>
        </w:rPr>
        <w:t>персонифицированный учет и списание вакцин при выполнении прививки.</w:t>
      </w:r>
    </w:p>
    <w:p>
      <w:r>
        <w:rPr>
          <w:color w:val="000000"/>
        </w:rPr>
        <w:t>Перед началом работы с компонентом "Медсестра прививочного кабинета" ознакомьтесь с руководством пользователя "Основы работы с Системой", где описаны общие принципы работы с интерфейсами. Также выполните настройки Системы в соответствии с руководством администратора "Администратор системы" (настройка пользователей, настройка ролей пользователям, настройка меню и доступа) и настройки компонента в соответствии с руководством администратора "</w:t>
      </w:r>
      <w:hyperlink r:id="rId11" w:history="1">
        <w:r>
          <w:rPr>
            <w:rStyle w:val="Hyperlink"/>
            <w:color w:val="000000"/>
          </w:rPr>
          <w:t>Вакцинопрофилактика</w:t>
        </w:r>
      </w:hyperlink>
      <w:r>
        <w:rPr>
          <w:color w:val="000000"/>
        </w:rPr>
        <w:t>". Настройки выполняются Администратором Системы.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pStyle w:val="Heading1"/>
      </w:pPr>
      <w:bookmarkStart w:id="8" w:name="scroll-bookmark-5"/>
      <w:bookmarkStart w:id="9" w:name="_Toc256000002"/>
      <w:r>
        <w:t>АРМ медсестры прививочного кабинета. Медсестра прививочного кабинета</w:t>
      </w:r>
      <w:bookmarkEnd w:id="9"/>
      <w:bookmarkEnd w:id="8"/>
    </w:p>
    <w:p>
      <w:r>
        <w:t>АРМ медсестры разработано для массового выполнения, редактирования, удаления прививок (проб) и проверки реакций в детских поликлиниках, дошкольных и школьных учреждениях.</w:t>
      </w:r>
    </w:p>
    <w:p>
      <w:r>
        <w:t>Для работы в АРМ медсестры прививочного кабинета выполните следующие действия:</w:t>
      </w:r>
    </w:p>
    <w:p>
      <w:pPr>
        <w:numPr>
          <w:ilvl w:val="0"/>
          <w:numId w:val="34"/>
        </w:numPr>
      </w:pPr>
      <w:r>
        <w:t>выберите пункт главного меню "Учет" → "Вакцинопрофилактика" → "АРМ прививочной медсестры". Откроется АРМ прививочной медсестры;</w:t>
      </w:r>
    </w:p>
    <w:p>
      <w:pPr>
        <w:keepNext/>
        <w:spacing w:beforeAutospacing="1"/>
        <w:jc w:val="center"/>
      </w:pPr>
      <w:r>
        <w:drawing>
          <wp:inline>
            <wp:extent cx="5395595" cy="2185622"/>
            <wp:docPr id="100001" name="" descr="АРМ прививочной медсест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683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18562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АРМ прививочной медсестры</w:t>
      </w:r>
    </w:p>
    <w:p/>
    <w:p>
      <w:pPr>
        <w:numPr>
          <w:ilvl w:val="0"/>
          <w:numId w:val="35"/>
        </w:numPr>
      </w:pPr>
      <w:r>
        <w:t>заполните поля фильтра. Для поиска достаточно заполнить одно из полей;</w:t>
      </w:r>
    </w:p>
    <w:p>
      <w:pPr>
        <w:pStyle w:val="ScrollExpandMacroText"/>
        <w:numPr>
          <w:ilvl w:val="0"/>
          <w:numId w:val="0"/>
        </w:numPr>
        <w:ind w:left="360"/>
      </w:pPr>
      <w:r>
        <w:t>Заполнение полей фильтра</w:t>
      </w:r>
    </w:p>
    <w:tbl>
      <w:tblPr>
        <w:tblStyle w:val="ScrollTableNormal"/>
        <w:tblW w:w="0" w:type="auto"/>
        <w:tblInd w:w="360" w:type="dxa"/>
        <w:tblLayout w:type="fixed"/>
        <w:tblLook w:val="0020"/>
      </w:tblPr>
      <w:tblGrid>
        <w:gridCol w:w="3418"/>
        <w:gridCol w:w="4638"/>
      </w:tblGrid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bookmarkStart w:id="10" w:name="scroll-bookmark-6"/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Наименование поля</w:t>
            </w:r>
            <w:bookmarkEnd w:id="10"/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Фамилия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 фамилию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Имя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 имя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Отчество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 отчество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рождения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 дату рождения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Номер карты пациента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 номер карты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Полис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 номер полиса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Участок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Укажите участок МО. Для этого нажмите на кнопку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02" name="" descr="_scroll_external/attachments/-77470c1636a4ebdc6fac8ceb9e397d559f826d16fa4a55b9a7d76ad427c19c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72187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. Откроется окно "Подразделения и участки (ЛПУ)", в котором выберите нужное значение и нажмите на кнопку "Ок"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Организация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Укажите организацию. Для этого нажмите на кнопку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03" name="" descr="_scroll_external/attachments/-77470c1636a4ebdc6fac8ceb9e397d559f826d16fa4a55b9a7d76ad427c19c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6295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. Откроется окно "Контрагенты: юридические лица", в котором выберите нужное значение и нажмите на кнопку "Ок"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Подразделение, класс, группа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Укажите подразделение/класс/группу. Для этого нажмите на кнопку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04" name="" descr="_scroll_external/attachments/-77470c1636a4ebdc6fac8ceb9e397d559f826d16fa4a55b9a7d76ad427c19c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4421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. Откроется окно "Социальные положения", в котором выберите нужное значение и нажмите на кнопку "Ок"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Примечание к месту работы/учебы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Введите вручную примечание к месту работы/учебы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Соц. статус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соц. статус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Типы прививок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тип прививки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ИПМ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иммунопрофилактическое мероприятие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4"/>
              </w:rPr>
              <w:t>Сотрудник, выполнивший прививку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сотрудника, выполнившего прививку. Для этого нажмите на кнопку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05" name="" descr="_scroll_external/attachments/-77470c1636a4ebdc6fac8ceb9e397d559f826d16fa4a55b9a7d76ad427c19c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8217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. Откроется окно "Персонал", в котором выберите нужное значение и нажмите на кнопку "Ок"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За период с, по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Укажите необходимый период планируемой прививки с помощью календаря или вручную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Подразделение ЛПУ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подразделение МО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Схемы вакцинации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схемы вакцинации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Сотрудник, назначивший прививку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сотрудника, назначившего прививку. Для этого нажмите на кнопку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06" name="" descr="_scroll_external/attachments/-77470c1636a4ebdc6fac8ceb9e397d559f826d16fa4a55b9a7d76ad427c19c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1798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. Откроется окно "Персонал", в котором выберите нужное значение и нажмите на кнопку "Ок"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 статусом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статус прививки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Проверена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Выберите статус прививки из выпадающего списка</w:t>
            </w:r>
          </w:p>
        </w:tc>
      </w:tr>
    </w:tbl>
    <w:p>
      <w:pPr>
        <w:pStyle w:val="Caption"/>
        <w:keepNext w:val="0"/>
        <w:numPr>
          <w:ilvl w:val="0"/>
          <w:numId w:val="0"/>
        </w:numPr>
        <w:ind w:left="360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t>2</w:t>
      </w:r>
      <w:r>
        <w:fldChar w:fldCharType="end"/>
      </w:r>
      <w:r>
        <w:t xml:space="preserve"> Описание полей фильтра</w:t>
      </w:r>
    </w:p>
    <w:p>
      <w:pPr>
        <w:numPr>
          <w:ilvl w:val="0"/>
          <w:numId w:val="35"/>
        </w:numPr>
      </w:pPr>
      <w:r>
        <w:t>нажмите на кнопку "Найти". Отобразится список пациентов с назначенными прививками. Рядом с каждой прививкой/пробой имеется значок, при нажатии на который открывается соответствующее окно.</w:t>
      </w:r>
    </w:p>
    <w:tbl>
      <w:tblPr>
        <w:tblStyle w:val="ScrollTableNormal"/>
        <w:tblW w:w="5000" w:type="pct"/>
        <w:tblLook w:val="0020"/>
      </w:tblPr>
      <w:tblGrid>
        <w:gridCol w:w="906"/>
        <w:gridCol w:w="1773"/>
        <w:gridCol w:w="5799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Значок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Наименование значка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390525" cy="228600"/>
                  <wp:docPr id="100007" name="" descr="_scroll_external/attachments/pp-d30ba4b4e7844caa2f48ac3307bb6a21f7db0bccb89a4ab16abafb7a06b792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44105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Выполнить прививку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При нажатии на значок открывается окно "Выполнение прививки". Работа в окне подробно описана в блоке "Выполнение одной прививки" раздела "</w:t>
            </w:r>
            <w:hyperlink r:id="rId15" w:history="1">
              <w:r>
                <w:rPr>
                  <w:rStyle w:val="Hyperlink"/>
                  <w:rFonts w:ascii="Arial" w:eastAsia="Times New Roman" w:hAnsi="Arial" w:cs="Times New Roman"/>
                  <w:sz w:val="20"/>
                  <w:szCs w:val="24"/>
                </w:rPr>
                <w:t>Выполнение прививок пациенту</w:t>
              </w:r>
            </w:hyperlink>
            <w:r>
              <w:rPr>
                <w:rFonts w:ascii="Arial" w:eastAsia="Times New Roman" w:hAnsi="Arial" w:cs="Times New Roman"/>
                <w:sz w:val="20"/>
                <w:szCs w:val="24"/>
              </w:rPr>
              <w:t>" руководства пользователя "Вакцинопрофилактика"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390525" cy="228600"/>
                  <wp:docPr id="100008" name="" descr="_scroll_external/attachments/va-8e048026430f68a66d9cab653c7e05fe79e765d55e0abc7665d6d0203dcd03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20077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Редактировать выполненную прививку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При нажатии на значок открывается окно "Редактирование прививки". Работа в окне подробно описана в блоке "Редактирование прививки" раздела "</w:t>
            </w:r>
            <w:hyperlink r:id="rId17" w:history="1">
              <w:r>
                <w:rPr>
                  <w:rStyle w:val="Hyperlink"/>
                  <w:rFonts w:ascii="Arial" w:eastAsia="Times New Roman" w:hAnsi="Arial" w:cs="Times New Roman"/>
                  <w:sz w:val="20"/>
                  <w:szCs w:val="24"/>
                </w:rPr>
                <w:t>Доступные действия с назначенными прививками</w:t>
              </w:r>
            </w:hyperlink>
            <w:r>
              <w:rPr>
                <w:rFonts w:ascii="Arial" w:eastAsia="Times New Roman" w:hAnsi="Arial" w:cs="Times New Roman"/>
                <w:sz w:val="20"/>
                <w:szCs w:val="24"/>
              </w:rPr>
              <w:t>" руководства пользователя "Вакцинопрофилактика".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Примечание </w:t>
            </w: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4"/>
              </w:rPr>
              <w:t>–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4"/>
              </w:rPr>
              <w:t>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Окно "Редактирование прививки" также открывается при выборе соответствующего пункта контекстного меню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333375" cy="308681"/>
                  <wp:docPr id="100009" name="" descr="_scroll_external/attachments/image2021-8-11_11-10-37-df2c5218e32c7320968111e5a8af0f6185c5033d04d81820d0066155de0b3d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12359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0868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Отказ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Значок отображается у прививок со статусом "Отказ" или "Медотвод". При нажатии на значок открывается окно "Выполнение прививки" для просмотра параметров отказа/медотвода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ind w:left="173"/>
              <w:jc w:val="left"/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Примечания</w:t>
            </w:r>
          </w:p>
          <w:p>
            <w:pPr>
              <w:numPr>
                <w:ilvl w:val="0"/>
                <w:numId w:val="38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Чтобы отметить не явившихся на прививку пациентов, установите флажок(и) в первом столбце и выберите пункт контекстного меню "Изменить статус – Не явился". Статус изменится на "Не явился".</w:t>
            </w:r>
          </w:p>
          <w:p>
            <w:pPr>
              <w:numPr>
                <w:ilvl w:val="0"/>
                <w:numId w:val="38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Чтобы удалить прививку, выберите пункт контекстного меню "Удалить".</w:t>
            </w:r>
          </w:p>
          <w:p>
            <w:pPr>
              <w:numPr>
                <w:ilvl w:val="0"/>
                <w:numId w:val="38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Чтобы перейти к прививочной карте пациента, нажмите на ссылку с ФИО пациента.</w:t>
            </w:r>
          </w:p>
        </w:tc>
      </w:tr>
    </w:tbl>
    <w:p/>
    <w:sectPr w:rsidSect="008B1C6A">
      <w:footerReference w:type="default" r:id="rId19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7777777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АРМ медсестры прививочного кабинета. Медсестра прививочного кабинета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7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БЦ Медицина – Руководство пользователя. Медсестра прививочного кабинета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rollExpandMacroText">
    <w:name w:val="Scroll Expand Macro Text"/>
    <w:pPr>
      <w:spacing w:before="240" w:after="60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conf.bars.group/pages/viewpage.action?pageId=83211216" TargetMode="External" /><Relationship Id="rId12" Type="http://schemas.openxmlformats.org/officeDocument/2006/relationships/image" Target="media/image1.png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hyperlink" Target="https://conf.bars.group/pages/viewpage.action?pageId=108221919" TargetMode="External" /><Relationship Id="rId16" Type="http://schemas.openxmlformats.org/officeDocument/2006/relationships/image" Target="media/image4.png" /><Relationship Id="rId17" Type="http://schemas.openxmlformats.org/officeDocument/2006/relationships/hyperlink" Target="https://conf.bars.group/pages/viewpage.action?pageId=108221937" TargetMode="External" /><Relationship Id="rId18" Type="http://schemas.openxmlformats.org/officeDocument/2006/relationships/image" Target="media/image5.png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Team Development</cp:lastModifiedBy>
  <cp:revision>108</cp:revision>
  <dcterms:created xsi:type="dcterms:W3CDTF">2016-10-04T14:03:00Z</dcterms:created>
  <dcterms:modified xsi:type="dcterms:W3CDTF">2016-10-07T14:18:00Z</dcterms:modified>
</cp:coreProperties>
</file>