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"Эпикриз по законченному случаю амбулаторный"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24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"Эпикриз по законченному случаю амбулаторный"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"Эпикриз по законченному случаю амбулаторный"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"Эпикриз по законченному случаю амбулаторный"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"Эпикриз по законченному случаю амбулаторный"" (далее – Компонент).</w:t>
      </w:r>
    </w:p>
    <w:p w:rsidRPr="00E16162">
      <w:r w:rsidRPr="00E16162">
        <w:t>Структурированный электронный медицинский документ (СЭМД) "Эпикриз по законченному случаю амбулаторный" предназначен для описания законченного случая оказания медицинской помощи пациенту в медицинской организации амбулаторно-поликлинического типа. Эпикриз по законченному случаю амбулаторный – это выписка из амбулаторной карты пациента наиболее значимой и существенной информации об оказании пациенту медицинской помощи (услуг), относящейся к данному случаю.</w:t>
      </w:r>
    </w:p>
    <w:p w:rsidRPr="00E16162">
      <w:r w:rsidRPr="00E16162">
        <w:t>CDA документ "Эпикриз по законченному случаю амбулаторный" предназначен для обмена данными о случае оказания пациенту медицинской помощи в медицинской организации амбулаторно-поликлинического типа между медицинскими организациями и реестром электронных медицинских документом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"Эпикриз по законченному случаю амбулаторный"</w:t>
      </w:r>
      <w:bookmarkEnd w:id="7"/>
      <w:bookmarkEnd w:id="6"/>
    </w:p>
    <w:p w:rsidRPr="00E16162">
      <w:r w:rsidRPr="00E16162">
        <w:t>СЭМД "Эпикриз по законченному случаю амбулаторный" формируется на основании приёма пациента, оказанного в Дневнике врача, и только в том случае, если на данном приёме выполнено закрытие случая заболевания. При этом приём пациента должен быть одного из типов: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посещение;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исследование;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анализ.</w:t>
      </w:r>
    </w:p>
    <w:p w:rsidRPr="00E16162">
      <w:r w:rsidRPr="00E16162">
        <w:t>Если в рамках случая заболевания были проведены: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инструментальные, лабораторные, морфологические исследования;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консультации врачей специалистов;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медикаментозное и немедикаментозное лечение;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вакцинация и иммунизация;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хирургические операции;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медицинские процедуры и услуги, </w:t>
      </w:r>
    </w:p>
    <w:p w:rsidRPr="00E16162">
      <w:r w:rsidRPr="00E16162">
        <w:t>то информация о них включается в СЭМД "Эпикриз по законченному случаю амбулаторный".</w:t>
      </w:r>
    </w:p>
    <w:p w:rsidRPr="00E16162">
      <w:r w:rsidRPr="00E16162">
        <w:t>Чтобы сформировать СЭМД "Эпикриз по законченному случаю амбулаторный", выполните следующие действия:</w:t>
      </w:r>
    </w:p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rPr>
          <w:color w:val="172B4D"/>
        </w:rPr>
        <w:t>выберите пункт главного меню "Рабочие места" → "</w:t>
      </w:r>
      <w:r>
        <w:t>Дневник". </w:t>
      </w:r>
      <w:r>
        <w:rPr>
          <w:color w:val="172B4D"/>
        </w:rPr>
        <w:t>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107882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313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0788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2"/>
        </w:numPr>
        <w:ind w:left="1780"/>
      </w:pPr>
      <w:r>
        <w:t>выберите в дневнике назначенный пациенту приём и нажмите на ссылку "Оказать". Откроется окно оказания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383005"/>
            <wp:docPr id="100004" name="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5027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8300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оказания приёма</w:t>
      </w:r>
    </w:p>
    <w:p/>
    <w:p>
      <w:pPr>
        <w:pStyle w:val="ScrollListBullet"/>
        <w:numPr>
          <w:ilvl w:val="0"/>
          <w:numId w:val="33"/>
        </w:numPr>
        <w:ind w:left="1780"/>
      </w:pPr>
      <w:r>
        <w:t>заполните все обязательные (выделенные цветом) поля в окне оказания услуги. Также заполните следующие поля для формирования СЭМД:</w:t>
      </w:r>
    </w:p>
    <w:p>
      <w:pPr>
        <w:pStyle w:val="ScrollListBullet2"/>
        <w:numPr>
          <w:ilvl w:val="0"/>
          <w:numId w:val="34"/>
        </w:numPr>
        <w:ind w:left="2245"/>
      </w:pPr>
      <w:r>
        <w:t>"Основной диагноз" – проверьте наличие или укажите код заболевания по МКБ-10;</w:t>
      </w:r>
    </w:p>
    <w:p>
      <w:pPr>
        <w:pStyle w:val="ScrollListBullet2"/>
        <w:numPr>
          <w:ilvl w:val="0"/>
          <w:numId w:val="34"/>
        </w:numPr>
        <w:ind w:left="2245"/>
      </w:pPr>
      <w:r>
        <w:t>"Исход обращения" – укажите завершающий исход обращения. При этом будет автоматически установлен флажок "Случай закрыт", отображение которого регулируется настройками Системы;</w:t>
      </w:r>
    </w:p>
    <w:p>
      <w:pPr>
        <w:pStyle w:val="ScrollListBullet"/>
        <w:numPr>
          <w:ilvl w:val="0"/>
          <w:numId w:val="33"/>
        </w:numPr>
        <w:ind w:left="1780"/>
      </w:pPr>
      <w:r>
        <w:t>нажмите на кнопку "Применить" для сохранения внесенных данных;</w:t>
      </w:r>
    </w:p>
    <w:p>
      <w:pPr>
        <w:pStyle w:val="ScrollListBullet"/>
        <w:numPr>
          <w:ilvl w:val="0"/>
          <w:numId w:val="33"/>
        </w:numPr>
        <w:ind w:left="1780"/>
      </w:pPr>
      <w:r>
        <w:t>перейдите на вкладку "Документы" и 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При формировании электронных медицинских документов по посещению, завершающему случай обслуживания пациента, помимо документа "Эпикриз по законченному случаю амбулаторный" выполняется формирование документа "Протокол консультации", который также отображается в окне "Подписываемые документы". В этом случае оба документа формируются и подписываются автором одновременно.</w:t>
            </w:r>
          </w:p>
        </w:tc>
      </w:tr>
    </w:tbl>
    <w:p/>
    <w:p w:rsidRPr="00E16162">
      <w:pPr>
        <w:keepNext/>
        <w:spacing w:beforeAutospacing="1"/>
        <w:jc w:val="center"/>
      </w:pPr>
      <w:r w:rsidRPr="00E16162">
        <w:drawing>
          <wp:inline>
            <wp:extent cx="6191250" cy="4576141"/>
            <wp:docPr id="100005" name="" descr="Окно формирования электронн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43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57614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формирования электронного документа</w:t>
      </w:r>
    </w:p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8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нажмите на кнопку "Подписать". Произойдет формирование СЭМД "Эпикриз по законченному случаю амбулаторный",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Прежде чем отправить сформированный СЭМД "Эпикриз по законченному случаю амбулаторный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 в РЭМД, необходимо дождаться его подписания другими участниками, а также лицом, подписывающим документы ЭП МО, в случае, если автор документа таким правом не обладает.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"Эпикриз по законченному случаю амбулаторный"</w:t>
      </w:r>
      <w:bookmarkEnd w:id="9"/>
      <w:bookmarkEnd w:id="8"/>
    </w:p>
    <w:p w:rsidRPr="00E16162">
      <w:r w:rsidRPr="00E16162">
        <w:t>Если помимо автора СЭМД "Эпикриз по законченному случаю амбулаторный"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103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127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513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40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884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923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"Эпикриз по законченному случаю амбулаторный"</w:t>
      </w:r>
      <w:bookmarkEnd w:id="17"/>
      <w:bookmarkEnd w:id="16"/>
    </w:p>
    <w:p w:rsidRPr="00E16162">
      <w:r w:rsidRPr="00E16162">
        <w:t>После того как документ "Эпикриз по законченному случаю амбулаторный"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 отправить СЭМД "Эпикриз по законченному случаю амбулаторный" на регистрацию в РЭМД,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09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дневнике оказанный пациенту приём, завершающий случай обращения пациента,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721136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509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72113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перейдите на вкладку "Документы" и</w:t>
      </w:r>
      <w:r w:rsidRPr="00E16162">
        <w:t> выберите подписанный документ "Эпикриз по законченному случаю амбулаторный";</w:t>
      </w:r>
    </w:p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воспользуйтесь пунктом контекстного меню "Зарегистрировать в РЭМД". </w:t>
      </w:r>
      <w:r w:rsidRPr="00E16162">
        <w:t>Перед тем как отправить выбранный документ на регистрацию в РЭМД, Система осуществляет ряд проверок:</w:t>
      </w:r>
    </w:p>
    <w:p w:rsidRPr="00E16162">
      <w:pPr>
        <w:pStyle w:val="ScrollListBullet2"/>
        <w:numPr>
          <w:ilvl w:val="0"/>
          <w:numId w:val="54"/>
        </w:numPr>
        <w:ind w:left="2245"/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</w:p>
    <w:p w:rsidRPr="00E16162"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drawing>
          <wp:inline>
            <wp:extent cx="4581525" cy="1095375"/>
            <wp:docPr id="100014" name="" descr="Сообщение об отсутствии подписей всех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563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Сообщение об отсутствии подписей всех участников подписания</w:t>
      </w:r>
    </w:p>
    <w:p w:rsidRPr="00E16162">
      <w:pPr>
        <w:pStyle w:val="ScrollListBullet2"/>
        <w:ind w:left="2245"/>
      </w:pPr>
      <w:r w:rsidRPr="00E16162">
        <w:t>  </w:t>
      </w:r>
    </w:p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</w:p>
    <w:p w:rsidRPr="00E16162"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drawing>
          <wp:inline>
            <wp:extent cx="4905375" cy="1247775"/>
            <wp:docPr id="100015" name="" descr="Сообщение об отсутствии подписи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663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13</w:t>
      </w:r>
      <w:r w:rsidRPr="00E16162">
        <w:fldChar w:fldCharType="end"/>
      </w:r>
      <w:r w:rsidRPr="00E16162">
        <w:t xml:space="preserve"> Сообщение об отсутствии подписи МО</w:t>
      </w:r>
    </w:p>
    <w:p w:rsidRPr="00E16162">
      <w:pPr>
        <w:pStyle w:val="ScrollListBullet"/>
        <w:ind w:left="1781"/>
      </w:pPr>
      <w:r w:rsidRPr="00E16162">
        <w:t>  </w:t>
      </w:r>
    </w:p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если все проверки пройдены, то </w:t>
      </w:r>
      <w:r w:rsidRPr="00E16162">
        <w:t>отображается сообщение</w:t>
      </w:r>
      <w:r w:rsidRPr="00E16162">
        <w:t> об успешной отправке документа в РЭМД.</w:t>
      </w:r>
    </w:p>
    <w:p w:rsidRPr="00E16162"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drawing>
          <wp:inline>
            <wp:extent cx="4610100" cy="119062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393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14</w:t>
      </w:r>
      <w:r w:rsidRPr="00E16162">
        <w:fldChar w:fldCharType="end"/>
      </w:r>
      <w:r w:rsidRPr="00E16162">
        <w:t xml:space="preserve"> Сообщение об успешной отправке документа на регистрацию в РЭМД</w:t>
      </w:r>
    </w:p>
    <w:p w:rsidRPr="00E16162"/>
    <w:p w:rsidRPr="00E16162"/>
    <w:p w:rsidRPr="00E16162">
      <w:r w:rsidRPr="00E16162"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документа, направляемый РЭМД ответным сообщением, отображается впоследствии в столбце "Статус документа" (см. "</w:t>
      </w:r>
      <w:hyperlink r:id="rId24" w:history="1">
        <w:r w:rsidRPr="00E16162"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1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СЭМД "Протокол консультации" на регистрацию в РЭМД, выполните следующие действия:</w:t>
      </w:r>
    </w:p>
    <w:p>
      <w:pPr>
        <w:pStyle w:val="ScrollListBullet"/>
        <w:numPr>
          <w:ilvl w:val="0"/>
          <w:numId w:val="58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000510"/>
            <wp:docPr id="100017" name="" descr="Окно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60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0005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15</w:t>
      </w:r>
      <w:r>
        <w:fldChar w:fldCharType="end"/>
      </w:r>
      <w:r>
        <w:t xml:space="preserve"> Окно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9"/>
        </w:numPr>
        <w:ind w:left="1780"/>
      </w:pPr>
      <w:r>
        <w:t xml:space="preserve">выберите в списке документ,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9"/>
        </w:numPr>
        <w:ind w:left="1780"/>
      </w:pPr>
      <w:r>
        <w:t>вызовите контекстное меню и выберите пункт "Зарегистрировать в РЭМД". </w:t>
      </w:r>
      <w:r>
        <w:t>Перед тем как отправить выбранный документ на регистрацию, Система осуществляет ряд проверок: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для документа настроено подписание еще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581525" cy="1095375"/>
            <wp:docPr id="100018" name="" descr="_scroll_external/attachments/image2022-4-27_10-46-46-c62c62c685734744e66d712d842af53f91ae08210e1e626ec80191ef869fa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069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905375" cy="1247775"/>
            <wp:docPr id="100019" name="" descr="_scroll_external/attachments/image2022-4-27_10-52-27-b2c856ff60d6da45ac83bca486fd1147d5042822488d22b6b62b0b9329cc78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798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610100" cy="119062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825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16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документа, направляемый РЭМД ответным сообщением, отображается впоследствии в столбце "Статус в РЭМД" (см. "</w:t>
      </w:r>
      <w:hyperlink w:anchor="scroll-bookmark-12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2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РЭМД возвращает ошибки согласно справочнику НСИ </w:t>
            </w: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1.2.643.5.1.13.13.99.2.305 "РЭМД.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7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8"/>
      <w:footerReference w:type="default" r:id="rId29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22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24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https://conf.bars.group/x/3efcCw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"Эпикриз по законченному случаю амбулаторный"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hybridMultilevel"/>
    <w:tmpl w:val="757968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579688A"/>
    <w:multiLevelType w:val="hybridMultilevel"/>
    <w:tmpl w:val="7579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7579688D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9">
    <w:nsid w:val="7579688E"/>
    <w:multiLevelType w:val="hybridMultilevel"/>
    <w:tmpl w:val="7579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hyperlink" Target="https://conf.bars.group/pages/viewpage.action?pageId=186907081#id-&#1055;&#1077;&#1088;&#1077;&#1076;&#1072;&#1095;&#1072;&#1057;&#1069;&#1052;&#1044;&#1074;&#1056;&#1069;&#1052;&#1044;.&#1048;&#1085;&#1090;&#1077;&#1075;&#1088;&#1072;&#1094;&#1080;&#1103;&#1089;&#1056;&#1069;&#1052;&#1044;.&#1057;&#1069;&#1052;&#1044;" TargetMode="External" /><Relationship Id="rId25" Type="http://schemas.openxmlformats.org/officeDocument/2006/relationships/image" Target="media/image14.png" /><Relationship Id="rId26" Type="http://schemas.openxmlformats.org/officeDocument/2006/relationships/hyperlink" Target="https://nsi.rosminzdrav.ru/#!/refbook/1.2.643.5.1.13.13.99.2.305/version/3.6" TargetMode="External" /><Relationship Id="rId27" Type="http://schemas.openxmlformats.org/officeDocument/2006/relationships/header" Target="header3.xml" /><Relationship Id="rId28" Type="http://schemas.openxmlformats.org/officeDocument/2006/relationships/header" Target="header4.xml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3efc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24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