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"Протокол прижизненного патологоанатомического исследования"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45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данных, необходимых для СЭМД.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Проведение прижизненного патологоанатомического исследования.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Оформление протокола ППАИ в дневнике врача.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Проведение ППАИ в лаборатории.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Направление пациента на гистологическое исследование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Проведение гистологического исследования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"Протокол прижизненного патологоанатомического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автором документа 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bookmarkStart w:id="1" w:name="scroll-bookmark-1"/>
      <w:bookmarkEnd w:id="1"/>
      <w:r w:rsidRPr="00E16162">
        <w:t>   </w:t>
      </w:r>
    </w:p>
    <w:p w:rsidRPr="00E16162">
      <w:pPr>
        <w:pStyle w:val="Heading1"/>
        <w:ind w:left="851"/>
      </w:pPr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ОКПО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Общероссийский классификатор предприятий и организаций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ОМС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Обязательное медицинское страхование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ПАО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Патологоанатомическое отделение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ППАИ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Прижизненное патологоанатомическое исследование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r w:rsidRPr="00E16162">
        <w:t>   </w:t>
      </w:r>
    </w:p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rPr>
          <w:color w:val="172B4D"/>
        </w:rPr>
        <w:t>Настоящий документ представляет собой руководство пользователя </w:t>
      </w:r>
      <w:r>
        <w:rPr>
          <w:color w:val="172B4D"/>
        </w:rPr>
        <w:t>компонента "Интеграция с РЭМД. СЭМД "Протокол прижизненного патологоанатомического исследования"" (далее – Компонент).</w:t>
      </w:r>
    </w:p>
    <w:p>
      <w:r>
        <w:t>Структурированный электронный медицинский документ (СЭМД) "Протокол прижизненного патологоанатомического исследования" предназначен для передачи результатов проведенных исследований из патологоанатомических отделений (ПАО) медицинских организаций или отдельных патологоанатомических бюро в реестр электронных медицинских документов (РЭМД).</w:t>
      </w:r>
    </w:p>
    <w:p>
      <w:r>
        <w:t>Данный СЭМД включает в себя описание следующих основных этапов проведения прижизненного патологоанатомического исследования биопсийного (операционного) материала:</w:t>
      </w:r>
    </w:p>
    <w:p>
      <w:pPr>
        <w:pStyle w:val="ScrollListBullet"/>
        <w:numPr>
          <w:ilvl w:val="0"/>
          <w:numId w:val="29"/>
        </w:numPr>
        <w:ind w:left="1780"/>
      </w:pPr>
      <w:r>
        <w:t>получение биопсийного (операционного) материала пациента специалистом в ходе диагностических биопсий, хирургических операций или других медицинских процедур и манипуляций;</w:t>
      </w:r>
    </w:p>
    <w:p>
      <w:pPr>
        <w:pStyle w:val="ScrollListBullet"/>
        <w:numPr>
          <w:ilvl w:val="0"/>
          <w:numId w:val="29"/>
        </w:numPr>
        <w:ind w:left="1780"/>
      </w:pPr>
      <w:r>
        <w:t>прием, регистрация, первичная сортировка доставленных биологических материалов и направление на прижизненное патологоанатомическое исследование биопсийного (операционного) материала – осуществляются медицинскими регистраторами патологоанатомического отделения;</w:t>
      </w:r>
    </w:p>
    <w:p>
      <w:pPr>
        <w:pStyle w:val="ScrollListBullet"/>
        <w:numPr>
          <w:ilvl w:val="0"/>
          <w:numId w:val="29"/>
        </w:numPr>
        <w:ind w:left="1780"/>
      </w:pPr>
      <w:r>
        <w:t>макроскопическое изучение биопсийного (операционного) материала врачом-патологоанатомом;</w:t>
      </w:r>
    </w:p>
    <w:p>
      <w:pPr>
        <w:pStyle w:val="ScrollListBullet"/>
        <w:numPr>
          <w:ilvl w:val="0"/>
          <w:numId w:val="29"/>
        </w:numPr>
        <w:ind w:left="1780"/>
      </w:pPr>
      <w:r>
        <w:t>вырезка из биопсийного (операционного) материала – иссечение кусочков органов и тканей (тканевых образцов); объем вырезки и назначаемые окраски (реакции, определения) определяются врачом-патологоанатомом исходя из задач исследования;</w:t>
      </w:r>
    </w:p>
    <w:p>
      <w:pPr>
        <w:pStyle w:val="ScrollListBullet"/>
        <w:numPr>
          <w:ilvl w:val="0"/>
          <w:numId w:val="29"/>
        </w:numPr>
        <w:ind w:left="1780"/>
      </w:pPr>
      <w:r>
        <w:t>лабораторная обработка биопсийного (операционного) материала – осуществляется медицинскими работниками со средним медицинским образованием и включает в себя комплекс технологических процессов для заключения и консервации тканевых образцов в парафиновых блоках, которые используются для изготовления окрашенных микропрепаратов;</w:t>
      </w:r>
    </w:p>
    <w:p>
      <w:pPr>
        <w:pStyle w:val="ScrollListBullet"/>
        <w:numPr>
          <w:ilvl w:val="0"/>
          <w:numId w:val="29"/>
        </w:numPr>
        <w:ind w:left="1780"/>
      </w:pPr>
      <w:r>
        <w:t>микроскопическое изучение биопсийного (операционного) материала – проводится врачом-патологоанатомом и представляет собой микроскопическое изучение (оценку) микропрепаратов;</w:t>
      </w:r>
    </w:p>
    <w:p>
      <w:pPr>
        <w:pStyle w:val="ScrollListBullet"/>
        <w:numPr>
          <w:ilvl w:val="0"/>
          <w:numId w:val="29"/>
        </w:numPr>
        <w:ind w:left="1780"/>
      </w:pPr>
      <w:r>
        <w:t>формирование заключения и рекомендаций по исследованию – проводится врачом-патологоанатомом на основании всех данных, полученных в ходе исследования, а также консультаций с другими врачами-специалистами.</w:t>
      </w:r>
    </w:p>
    <w:p>
      <w:pPr>
        <w:pStyle w:val="Heading1"/>
        <w:ind w:left="851"/>
      </w:pPr>
      <w:bookmarkStart w:id="6" w:name="scroll-bookmark-4"/>
      <w:bookmarkStart w:id="7" w:name="_Toc256000002"/>
      <w:r>
        <w:t>Проверка данных, необходимых для СЭМД. Интеграция с РЭМД. СЭМД "Протокол прижизненного патологоанатомического исследования"</w:t>
      </w:r>
      <w:bookmarkEnd w:id="7"/>
      <w:bookmarkEnd w:id="6"/>
    </w:p>
    <w:p>
      <w:pPr>
        <w:pStyle w:val="Heading1"/>
        <w:ind w:left="851"/>
      </w:pPr>
      <w:bookmarkStart w:id="8" w:name="scroll-bookmark-5"/>
      <w:bookmarkStart w:id="9" w:name="_Toc256000003"/>
      <w:r>
        <w:t>Проведение прижизненного патологоанатомического исследования. Интеграция с РЭМД. СЭМД "Протокол прижизненного патологоанатомического исследования"</w:t>
      </w:r>
      <w:bookmarkEnd w:id="9"/>
      <w:bookmarkEnd w:id="8"/>
    </w:p>
    <w:p>
      <w:r>
        <w:t>Для корректного формирования СЭМД "Протокол прижизненного патологоанатомического исследования" необходимо обеспечить наличие в Системе данных и результатов прижизненного патологоанатомического исследования пациента.</w:t>
      </w:r>
    </w:p>
    <w:p>
      <w:pPr>
        <w:pStyle w:val="Heading2"/>
        <w:ind w:left="851"/>
      </w:pPr>
      <w:bookmarkStart w:id="10" w:name="scroll-bookmark-6"/>
      <w:bookmarkStart w:id="11" w:name="_Toc256000004"/>
      <w:r>
        <w:t>Оформление протокола ППАИ в дневнике врача. Интеграция с РЭМД. СЭМД "Протокол прижизненного патологоанатомического исследования"</w:t>
      </w:r>
      <w:bookmarkEnd w:id="11"/>
      <w:bookmarkEnd w:id="10"/>
    </w:p>
    <w:p>
      <w:r>
        <w:rPr>
          <w:color w:val="172B4D"/>
        </w:rPr>
        <w:t>Если в регионе проведение прижизненного патологоанатомического исследования выполняется в дневнике врача путем оказания амбулаторного приёма, то для корректного формирования СЭМД "Протокол прижизненного патологоанатомического исследования"</w:t>
      </w:r>
      <w:r>
        <w:rPr>
          <w:color w:val="172B4D"/>
        </w:rPr>
        <w:t> </w:t>
      </w:r>
      <w:r>
        <w:rPr>
          <w:color w:val="172B4D"/>
        </w:rPr>
        <w:t>необходимо оказать данный приём, внеся все необходимые для СЭМД данные.</w:t>
      </w:r>
    </w:p>
    <w:p>
      <w:r>
        <w:t xml:space="preserve">Чтобы оказать пациенту услугу </w:t>
      </w:r>
      <w:r>
        <w:rPr>
          <w:color w:val="172B4D"/>
        </w:rPr>
        <w:t>прижизненного патологоанатомического исследования</w:t>
      </w:r>
      <w:r>
        <w:t>, выполните следующие действия:</w:t>
      </w:r>
    </w:p>
    <w:p>
      <w:pPr>
        <w:pStyle w:val="ScrollListBullet"/>
        <w:numPr>
          <w:ilvl w:val="0"/>
          <w:numId w:val="30"/>
        </w:numPr>
        <w:ind w:left="1780"/>
      </w:pPr>
      <w:r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jc w:val="center"/>
      </w:pPr>
    </w:p>
    <w:p>
      <w:pPr>
        <w:pStyle w:val="ScrollListBullet"/>
        <w:numPr>
          <w:ilvl w:val="0"/>
          <w:numId w:val="31"/>
        </w:numPr>
        <w:ind w:left="1780"/>
      </w:pPr>
      <w:r>
        <w:rPr>
          <w:color w:val="172B4D"/>
        </w:rPr>
        <w:t>выберите в дневнике назначенную пациенту услугу "Протокол прижизненного патологоанатомического исследования" и нажмите на ссылку "Оказать". Откроется окно оказания приёма;</w:t>
      </w:r>
    </w:p>
    <w:p>
      <w:pPr>
        <w:jc w:val="center"/>
      </w:pPr>
    </w:p>
    <w:p>
      <w:pPr>
        <w:pStyle w:val="ScrollListBullet"/>
        <w:numPr>
          <w:ilvl w:val="0"/>
          <w:numId w:val="32"/>
        </w:numPr>
        <w:ind w:left="1780"/>
      </w:pPr>
      <w:r>
        <w:t>заполните все обязательные (выделенные цветом) поля в окне оказания услуги. А также заполните следующие поля, данные из которых включаются в СЭМД при формировании, указав в них любые значения: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color w:val="FF0000"/>
        </w:rPr>
        <w:t>регистрационные данные прижизненного патолого-анатомического исследования:</w:t>
      </w:r>
    </w:p>
    <w:p>
      <w:pPr>
        <w:pStyle w:val="ScrollListBullet3"/>
        <w:numPr>
          <w:ilvl w:val="0"/>
          <w:numId w:val="34"/>
        </w:numPr>
        <w:ind w:left="2592"/>
      </w:pPr>
      <w:r>
        <w:rPr>
          <w:color w:val="FF0000"/>
        </w:rPr>
        <w:t>"Регистрационный номер";</w:t>
      </w:r>
    </w:p>
    <w:p>
      <w:pPr>
        <w:pStyle w:val="ScrollListBullet3"/>
        <w:numPr>
          <w:ilvl w:val="0"/>
          <w:numId w:val="34"/>
        </w:numPr>
        <w:ind w:left="2592"/>
      </w:pPr>
      <w:r>
        <w:rPr>
          <w:color w:val="FF0000"/>
        </w:rPr>
        <w:t>"Дата поступления биопсийного (операционного) материала" и "Время";</w:t>
      </w:r>
    </w:p>
    <w:p>
      <w:pPr>
        <w:pStyle w:val="ScrollListBullet3"/>
        <w:numPr>
          <w:ilvl w:val="0"/>
          <w:numId w:val="34"/>
        </w:numPr>
        <w:ind w:left="2592"/>
      </w:pPr>
      <w:r>
        <w:rPr>
          <w:color w:val="FF0000"/>
        </w:rPr>
        <w:t>"Дата регистрации биопсийного (операционного) материала" и "Время";</w:t>
      </w:r>
    </w:p>
    <w:p>
      <w:pPr>
        <w:pStyle w:val="ScrollListBullet3"/>
        <w:numPr>
          <w:ilvl w:val="0"/>
          <w:numId w:val="34"/>
        </w:numPr>
        <w:ind w:left="2592"/>
      </w:pPr>
      <w:r>
        <w:rPr>
          <w:color w:val="FF0000"/>
        </w:rPr>
        <w:t>"Основной диагноз";</w:t>
      </w:r>
    </w:p>
    <w:p>
      <w:pPr>
        <w:pStyle w:val="ScrollListBullet3"/>
        <w:numPr>
          <w:ilvl w:val="0"/>
          <w:numId w:val="34"/>
        </w:numPr>
        <w:ind w:left="2592"/>
      </w:pPr>
      <w:r>
        <w:rPr>
          <w:color w:val="FF0000"/>
        </w:rPr>
        <w:t>"Порядок выполнения"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color w:val="FF0000"/>
        </w:rPr>
        <w:t>информация об исследованных материалах:</w:t>
      </w:r>
    </w:p>
    <w:p>
      <w:pPr>
        <w:pStyle w:val="ScrollListBullet3"/>
        <w:numPr>
          <w:ilvl w:val="0"/>
          <w:numId w:val="35"/>
        </w:numPr>
        <w:ind w:left="2592"/>
      </w:pPr>
      <w:r>
        <w:rPr>
          <w:color w:val="FF0000"/>
        </w:rPr>
        <w:t>доставленные материалы для исследования: 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"Номер флакона";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"Локализация патологического процесса";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"Способ получения биопсийного (операционного) материала";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"Характер патологического процесса";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"Количество объектов";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"Дата забора материала" и "Время";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"Отметка о сохранности упаковки";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"Материал помещен в 10%-ный раствор нейтрального формалина";</w:t>
      </w:r>
    </w:p>
    <w:p>
      <w:pPr>
        <w:pStyle w:val="ScrollListBullet4"/>
        <w:numPr>
          <w:ilvl w:val="0"/>
          <w:numId w:val="36"/>
        </w:numPr>
        <w:ind w:left="3070"/>
      </w:pPr>
      <w:r>
        <w:rPr>
          <w:color w:val="FF0000"/>
        </w:rPr>
        <w:t>"Загрязнен";</w:t>
      </w:r>
    </w:p>
    <w:p>
      <w:pPr>
        <w:pStyle w:val="ScrollListBullet3"/>
        <w:numPr>
          <w:ilvl w:val="0"/>
          <w:numId w:val="35"/>
        </w:numPr>
        <w:ind w:left="2592"/>
      </w:pPr>
      <w:r>
        <w:rPr>
          <w:color w:val="FF0000"/>
        </w:rPr>
        <w:t>"Дата проведения вырезки" и "Время";</w:t>
      </w:r>
    </w:p>
    <w:p>
      <w:pPr>
        <w:pStyle w:val="ScrollListBullet3"/>
        <w:numPr>
          <w:ilvl w:val="0"/>
          <w:numId w:val="35"/>
        </w:numPr>
        <w:ind w:left="2592"/>
      </w:pPr>
      <w:r>
        <w:rPr>
          <w:color w:val="FF0000"/>
        </w:rPr>
        <w:t>"В проводку взято объектов";</w:t>
      </w:r>
    </w:p>
    <w:p>
      <w:pPr>
        <w:pStyle w:val="ScrollListBullet3"/>
        <w:numPr>
          <w:ilvl w:val="0"/>
          <w:numId w:val="35"/>
        </w:numPr>
        <w:ind w:left="2592"/>
      </w:pPr>
      <w:r>
        <w:rPr>
          <w:color w:val="FF0000"/>
        </w:rPr>
        <w:t>"Макроскопическое описание";</w:t>
      </w:r>
    </w:p>
    <w:p>
      <w:pPr>
        <w:pStyle w:val="ScrollListBullet3"/>
        <w:numPr>
          <w:ilvl w:val="0"/>
          <w:numId w:val="35"/>
        </w:numPr>
        <w:ind w:left="2592"/>
      </w:pPr>
      <w:r>
        <w:rPr>
          <w:color w:val="FF0000"/>
        </w:rPr>
        <w:t>"Назначенные окраски (реакции, определения)";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color w:val="FF0000"/>
        </w:rPr>
        <w:t>результаты прижизненного патолого-анатомического исследования:</w:t>
      </w:r>
    </w:p>
    <w:p>
      <w:pPr>
        <w:pStyle w:val="ScrollListBullet3"/>
        <w:numPr>
          <w:ilvl w:val="0"/>
          <w:numId w:val="37"/>
        </w:numPr>
        <w:ind w:left="2592"/>
      </w:pPr>
      <w:r>
        <w:rPr>
          <w:color w:val="FF0000"/>
        </w:rPr>
        <w:t>"Микроскопическое описание";</w:t>
      </w:r>
    </w:p>
    <w:p>
      <w:pPr>
        <w:pStyle w:val="ScrollListBullet3"/>
        <w:numPr>
          <w:ilvl w:val="0"/>
          <w:numId w:val="37"/>
        </w:numPr>
        <w:ind w:left="2592"/>
      </w:pPr>
      <w:r>
        <w:rPr>
          <w:color w:val="FF0000"/>
        </w:rPr>
        <w:t>"Заключение";</w:t>
      </w:r>
    </w:p>
    <w:p>
      <w:pPr>
        <w:pStyle w:val="ScrollListBullet3"/>
        <w:numPr>
          <w:ilvl w:val="0"/>
          <w:numId w:val="37"/>
        </w:numPr>
        <w:ind w:left="2592"/>
      </w:pPr>
      <w:r>
        <w:rPr>
          <w:color w:val="FF0000"/>
        </w:rPr>
        <w:t>Код МКБ-10</w:t>
      </w:r>
    </w:p>
    <w:p>
      <w:pPr>
        <w:pStyle w:val="ScrollListBullet3"/>
        <w:numPr>
          <w:ilvl w:val="0"/>
          <w:numId w:val="37"/>
        </w:numPr>
        <w:ind w:left="2592"/>
      </w:pPr>
      <w:r>
        <w:rPr>
          <w:color w:val="FF0000"/>
        </w:rPr>
        <w:t>"Категория сложности";</w:t>
      </w:r>
    </w:p>
    <w:p>
      <w:pPr>
        <w:pStyle w:val="ScrollListBullet3"/>
        <w:numPr>
          <w:ilvl w:val="0"/>
          <w:numId w:val="37"/>
        </w:numPr>
        <w:ind w:left="2592"/>
      </w:pPr>
      <w:r>
        <w:rPr>
          <w:color w:val="FF0000"/>
        </w:rPr>
        <w:t>"Комментарии к заключению и рекомендации";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color w:val="FF0000"/>
        </w:rPr>
        <w:t>Оказанные услуги:</w:t>
      </w:r>
    </w:p>
    <w:p>
      <w:pPr>
        <w:pStyle w:val="ScrollListBullet3"/>
        <w:numPr>
          <w:ilvl w:val="0"/>
          <w:numId w:val="38"/>
        </w:numPr>
        <w:ind w:left="2592"/>
      </w:pPr>
      <w:r>
        <w:rPr>
          <w:color w:val="FF0000"/>
        </w:rPr>
        <w:t>Дата оказания</w:t>
      </w:r>
    </w:p>
    <w:p>
      <w:pPr>
        <w:pStyle w:val="ScrollListBullet3"/>
        <w:numPr>
          <w:ilvl w:val="0"/>
          <w:numId w:val="38"/>
        </w:numPr>
        <w:ind w:left="2592"/>
      </w:pPr>
      <w:r>
        <w:rPr>
          <w:color w:val="FF0000"/>
        </w:rPr>
        <w:t>Код услуги</w:t>
      </w:r>
    </w:p>
    <w:p>
      <w:pPr>
        <w:pStyle w:val="ScrollListBullet3"/>
        <w:numPr>
          <w:ilvl w:val="0"/>
          <w:numId w:val="38"/>
        </w:numPr>
        <w:ind w:left="2592"/>
      </w:pPr>
      <w:r>
        <w:rPr>
          <w:color w:val="FF0000"/>
        </w:rPr>
        <w:t>Количество</w:t>
      </w:r>
    </w:p>
    <w:p>
      <w:pPr>
        <w:pStyle w:val="ScrollListBullet"/>
        <w:numPr>
          <w:ilvl w:val="0"/>
          <w:numId w:val="32"/>
        </w:numPr>
        <w:ind w:left="1780"/>
      </w:pPr>
      <w:r>
        <w:t>нажмите на кнопку "Применить" для сохранения внесенных данных;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Проведение ППАИ в лаборатории. Интеграция с РЭМД. СЭМД "Протокол прижизненного патологоанатомического исследования"</w:t>
      </w:r>
      <w:bookmarkEnd w:id="13"/>
      <w:bookmarkEnd w:id="12"/>
    </w:p>
    <w:p>
      <w:r>
        <w:rPr>
          <w:color w:val="172B4D"/>
        </w:rPr>
        <w:t>Если в регионе прижизненное патологоанатомическое исследование выполняется в компоненте "ЛИС. Гистология", то для корректного формирования СЭМД "Протокол прижизненного патологоанатомического исследования"</w:t>
      </w:r>
      <w:r>
        <w:rPr>
          <w:color w:val="172B4D"/>
        </w:rPr>
        <w:t> </w:t>
      </w:r>
      <w:r>
        <w:rPr>
          <w:color w:val="172B4D"/>
        </w:rPr>
        <w:t>ввод всех необходимых для СЭМД данных осуществляется в два этапа:</w:t>
      </w:r>
    </w:p>
    <w:p>
      <w:pPr>
        <w:pStyle w:val="ScrollListBullet"/>
        <w:numPr>
          <w:ilvl w:val="0"/>
          <w:numId w:val="39"/>
        </w:numPr>
        <w:ind w:left="1780"/>
      </w:pPr>
      <w:hyperlink w:anchor="scroll-bookmark-8" w:history="1">
        <w:r>
          <w:rPr>
            <w:rStyle w:val="Hyperlink"/>
            <w:color w:val="172B4D"/>
          </w:rPr>
          <w:t>направление пациента на гистологическое исследование</w:t>
        </w:r>
      </w:hyperlink>
      <w:r>
        <w:rPr>
          <w:color w:val="172B4D"/>
        </w:rPr>
        <w:t>;</w:t>
      </w:r>
    </w:p>
    <w:p>
      <w:pPr>
        <w:pStyle w:val="ScrollListBullet"/>
        <w:numPr>
          <w:ilvl w:val="0"/>
          <w:numId w:val="39"/>
        </w:numPr>
        <w:ind w:left="1780"/>
      </w:pPr>
      <w:hyperlink w:anchor="scroll-bookmark-9" w:history="1">
        <w:r>
          <w:rPr>
            <w:rStyle w:val="Hyperlink"/>
            <w:color w:val="172B4D"/>
          </w:rPr>
          <w:t>проведение гистологического исследования</w:t>
        </w:r>
      </w:hyperlink>
      <w:r>
        <w:rPr>
          <w:color w:val="172B4D"/>
        </w:rPr>
        <w:t>.</w:t>
      </w:r>
    </w:p>
    <w:p/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подробная информация по настройке и работе с гистологическими исследованиями представлена в документации компонента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ЛИС. Гистология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pPr>
        <w:pStyle w:val="Heading3"/>
        <w:ind w:left="851"/>
      </w:pPr>
      <w:bookmarkStart w:id="14" w:name="scroll-bookmark-8"/>
      <w:bookmarkStart w:id="15" w:name="_Toc256000006"/>
      <w:r w:rsidRPr="00E16162">
        <w:t>Направление пациента на гистологическое исследование</w:t>
      </w:r>
      <w:bookmarkEnd w:id="15"/>
      <w:bookmarkEnd w:id="14"/>
    </w:p>
    <w:p w:rsidRPr="00E16162">
      <w:r w:rsidRPr="00E16162">
        <w:t>Оформить пациенту направление на гистологическое исследование можно как на приёме врача-специалиста, так и непосредственно в лаборатории.</w:t>
      </w:r>
    </w:p>
    <w:p w:rsidRPr="00E16162">
      <w:pPr>
        <w:pStyle w:val="Heading4"/>
        <w:ind w:left="851"/>
      </w:pPr>
      <w:bookmarkStart w:id="16" w:name="scroll-bookmark-10"/>
      <w:r w:rsidRPr="00E16162">
        <w:t>Направление пациента на гистологическое исследование с приёма врача</w:t>
      </w:r>
      <w:bookmarkEnd w:id="16"/>
    </w:p>
    <w:p w:rsidRPr="00E16162">
      <w:r w:rsidRPr="00E16162">
        <w:t>Чтобы направить пациента на гистологическое исследование, выполните следующие действия: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выберите пункт главного меню "Рабочие места" → "Дневник". Отобразится рабочее место врача-специалиста;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244825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6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448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в списке оказанный пациенту приём, по итогам которого требуется выписать пациенту направление на гистологическое исследование, и воспользуйтесь пунктом контекстного меню "Направления". Откроется окно со списком направлений пациента;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342685"/>
            <wp:docPr id="100004" name="" descr="Окно со списком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28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6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со списком направлений пациента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"Направление на гистологическое исследование". Откроется окно создания направления на гистологическое исследование;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300921"/>
            <wp:docPr id="100005" name="" descr="Создание направления на гистологическое 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009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Создание направления на гистологическое исследование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заполните все обязательные (выделенные цветом) поля, без которых невозможно сохранение направления. Для последующего формирования СЭМД заполните поля согласно приведенной ниже таблице;</w:t>
      </w:r>
      <w:r w:rsidRPr="00E16162">
        <w:t>Поля, заполняемые для дальнейшего формирования СЭМД</w:t>
      </w:r>
    </w:p>
    <w:p w:rsidRPr="00E16162">
      <w:pPr>
        <w:pStyle w:val="Caption"/>
        <w:keepNext/>
        <w:numPr>
          <w:ilvl w:val="0"/>
          <w:numId w:val="0"/>
        </w:numPr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Поля, заполняемые для дальнейшего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1118"/>
        <w:gridCol w:w="2407"/>
        <w:gridCol w:w="4127"/>
        <w:gridCol w:w="774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7" w:name="scroll-bookmark-11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7"/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Направление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указывается номер направления. Также номер может быть введен вручную или сгенерирован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9550"/>
                  <wp:docPr id="100006" name="" descr="_scroll_external/attachments/shtrihkod-c8b0320cbd57548c341d930494df525cd0476f4980e577e8b0b533e0d1095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095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диагноз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указывается основной диагноз пациента, указанный ранее в окне оказания приёма, с которого создается направление. Также диагноз пациента может быть указан вручную. В соответствии с указанным значением автоматически заполняется поле "Код МКБ", в котором указывается шифр диагноза пациента по МКБ-10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Способ получения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выпадающего списка способ получения биопсийного (операционного) материала для прижизненного патологоанатомического исследования. В зависимости от выбранного значения формируется список доступных для выбора значений в поле "Биоматериал"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 время взятия материала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 время забора биопсийного (операционного) материала для прижизненного патологоанатомического исследования.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проставляются текущие дата и время. При необходимости дата и время забора материала могут быть изменены вручную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Материал помещен в формалин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том случае, если биопсийный (операционный) материал помещен в 10%-ный раствор нейтрального формалина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Список образцов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забранных для исследования образцов биоматериала. По каждому образцу заполняется перечень описанных ниже полей. Для добавления информации о еще об одном образце следует воспользоваться пунктом контекстного меню "Добавить"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Образец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штрих-код (идентификатор) биоматериала для исследования.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вводится вручную или генерируется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9550"/>
                  <wp:docPr id="100007" name="" descr="_scroll_external/attachments/shtrihkod-c8b0320cbd57548c341d930494df525cd0476f4980e577e8b0b533e0d1095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31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Биоматериал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забранный для исследования биоматериал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Локализация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локализацию патологического процесса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Характер патологического процесса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характер патологического процесса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Контейнер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вид контейнера. В зависимости от выбранного значения автоматически заполняется поле "Исследования", в котором указаны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исследования (окраски), содержащиеся в выбранном виде контейнера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Кол-во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количество объектов биоматериала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Исследования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лабораторное исследование, соответствующее забранному биоматериалу.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Выбор исследования осуществляется в отдельном окне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0025"/>
                  <wp:docPr id="100008" name="" descr="_scroll_external/attachments/plyus-6286eb51d1f0f659f9beadd35df4b69afd765d8021c18631b6179bd000bc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38428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В СЭМД включается код и наименование исследования по справочнику НСИ "Услуги (Нетрика)". Настройка сопоставления выбранного пользователем исследования со значением справочника НСИ осуществляется Администратором Системы. Также должно быть выполнено сопоставление всех показателей, входящих в состав исследования, со значениями справочника НСИ "Лабораторные тесты (Нетрика)".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</w:tbl>
    <w:p w:rsidRPr="00E16162">
      <w:pPr>
        <w:pStyle w:val="ScrollListBullet"/>
        <w:ind w:left="1781"/>
      </w:pPr>
      <w:r w:rsidRPr="00E16162">
        <w:t>  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нажмите на кнопку "Сохранить" для сохранения внесенных данных и закрытия окна создания направления. Созданное направление отобразится в списке направлений пациента, а также станет доступным для обработки в рабочем листе раздела "Гистология".</w:t>
      </w:r>
    </w:p>
    <w:p w:rsidRPr="00E16162">
      <w:pPr>
        <w:pStyle w:val="Heading4"/>
        <w:ind w:left="851"/>
      </w:pPr>
      <w:bookmarkStart w:id="18" w:name="scroll-bookmark-12"/>
      <w:r w:rsidRPr="00E16162">
        <w:t>Направление пациента на гистологическое исследование в лаборатории</w:t>
      </w:r>
      <w:bookmarkEnd w:id="18"/>
    </w:p>
    <w:p w:rsidRPr="00E16162">
      <w:r w:rsidRPr="00E16162">
        <w:t>Чтобы направить пациента на гистологическое исследование, выполните следующие действия: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пункт главного меню "Рабочие места" → "Лаборатория" → "Гистология" → "Направление". Отобразится окно создания направления на гистологическое исследование;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283631"/>
            <wp:docPr id="100009" name="" descr="Создание направления на гистологическое 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22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836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Создание направления на гистологическое исследование</w:t>
      </w:r>
    </w:p>
    <w:p w:rsidRPr="00E16162"/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выполните поиск пациента, направляемого на гистологическое исследование, используя панель поиска в верхней части окна. Найденный пациент отобразится в блоке "Результаты поиска";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выберите найденного пациента в блоке "Результаты поиска", дважды щелкнув по нему левой кнопкой мыши;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заполните все обязательные (выделенные цветом) поля, без которых невозможно сохранение направления. Для последующего формирования СЭМД заполните поля согласно приведенной ниже таблице;</w:t>
      </w:r>
      <w:r w:rsidRPr="00E16162">
        <w:t>Поля, заполняемые для дальнейшего формирования СЭМД</w:t>
      </w:r>
    </w:p>
    <w:p w:rsidRPr="00E16162">
      <w:pPr>
        <w:pStyle w:val="Caption"/>
        <w:keepNext/>
        <w:numPr>
          <w:ilvl w:val="0"/>
          <w:numId w:val="0"/>
        </w:numPr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Поля, заполняемые для дальнейшего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1118"/>
        <w:gridCol w:w="2407"/>
        <w:gridCol w:w="4127"/>
        <w:gridCol w:w="774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9" w:name="scroll-bookmark-13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9"/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Направление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указывается номер направления. Также номер может быть введен вручную или сгенерирован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9550"/>
                  <wp:docPr id="100010" name="" descr="_scroll_external/attachments/shtrihkod-c8b0320cbd57548c341d930494df525cd0476f4980e577e8b0b533e0d1095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8784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диагноз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указывается основной диагноз пациента, указанный ранее в окне оказания приёма, с которого создается направление. Также диагноз пациента может быть указан вручную. В соответствии с указанным значением автоматически заполняется поле "Код МКБ", в котором указывается шифр диагноза пациента по МКБ-10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Способ получения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выпадающего списка способ получения биопсийного (операционного) материала для прижизненного патологоанатомического исследования. В зависимости от выбранного значения формируется список доступных для выбора значений в поле "Биоматериал"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 время взятия материала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 время забора биопсийного (операционного) материала для прижизненного патологоанатомического исследования.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 проставляются текущие дата и время. При необходимости дата и время забора материала могут быть изменены вручную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Материал помещен в формалин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том случае, если биопсийный (операционный) материал помещен в 10%-ный раствор нейтрального формалина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525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Список образцов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забранных для исследования образцов биоматериала. По каждому образцу заполняется перечень описанных ниже полей. Для добавления информации о еще об одном образце следует воспользоваться пунктом контекстного меню "Добавить"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Образец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штрих-код (идентификатор) биоматериала для исследования.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вводится вручную или генерируется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9550"/>
                  <wp:docPr id="100011" name="" descr="_scroll_external/attachments/shtrihkod-c8b0320cbd57548c341d930494df525cd0476f4980e577e8b0b533e0d1095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1780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Биоматериал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забранный для исследования биоматериал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Локализация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локализацию патологического процесса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Характер патологического процесса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характер патологического процесса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Контейнер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вид контейнера. В зависимости от выбранного значения автоматически заполняется поле "Исследования", в котором указаны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исследования (окраски), содержащиеся в выбранном виде контейнера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Кол-во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количество объектов биоматериала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Исследования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лабораторное исследование, соответствующее забранному биоматериалу.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Выбор исследования осуществляется в отдельном окне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47650" cy="200025"/>
                  <wp:docPr id="100012" name="" descr="_scroll_external/attachments/plyus-6286eb51d1f0f659f9beadd35df4b69afd765d8021c18631b6179bd000bc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765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В СЭМД включается код и наименование исследования по справочнику НСИ "Услуги (Нетрика)". Настройка сопоставления выбранного пользователем исследования со значением справочника НСИ осуществляется Администратором Системы. Также должно быть выполнено сопоставление всех показателей, входящих в состав исследования, со значениями справочника НСИ "Лабораторные тесты (Нетрика)".</w:t>
            </w:r>
          </w:p>
        </w:tc>
        <w:tc>
          <w:tcPr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</w:tbl>
    <w:p w:rsidRPr="00E16162">
      <w:pPr>
        <w:pStyle w:val="ScrollListBullet"/>
        <w:ind w:left="1781"/>
      </w:pPr>
      <w:r w:rsidRPr="00E16162">
        <w:t>   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нажмите на кнопку "Сохранить" для сохранения внесенных данных и закрытия окна создания направления. Созданное направление станет доступным для обработки в рабочем листе раздела "Гистология".</w:t>
      </w:r>
    </w:p>
    <w:p w:rsidRPr="00E16162">
      <w:pPr>
        <w:pStyle w:val="Heading3"/>
        <w:ind w:left="851"/>
      </w:pPr>
      <w:bookmarkStart w:id="20" w:name="scroll-bookmark-9"/>
      <w:bookmarkStart w:id="21" w:name="_Toc256000007"/>
      <w:r w:rsidRPr="00E16162">
        <w:t>Проведение гистологического исследования</w:t>
      </w:r>
      <w:bookmarkEnd w:id="21"/>
      <w:bookmarkEnd w:id="20"/>
    </w:p>
    <w:p w:rsidRPr="00E16162">
      <w:r w:rsidRPr="00E16162">
        <w:t>Чтобы провести гистологическое исследование и ввести его результаты, выполните следующие действия: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пункт главного меню "Рабочие места" → "Лаборатория" → "Гистология" → "Рабочий лист". Отобразится форма для работы с образцами материалов;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616538"/>
            <wp:docPr id="100013" name="" descr="Форма для работы с образцами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12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65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Форма для работы с образцами материалов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в выпадающем списке в верхней части формы тот рабочий лист, который предназначен для работы с гистологическими исследованиями (например, рабочий лист "Гистология");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выполните поиск направления, выписанного ранее пациенту на гистологическое исследование, используя панель поиска в верхней части формы. Поиск возможен по следующим параметрам: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ФИО пациента;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номер направления на гистологическое исследование (поле "Случай");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номер забранного образца;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найденное направление на гистологическое исследование в левом блоке и перейдите на вкладку "Макро- и Микроскопическое описание";</w:t>
      </w:r>
    </w:p>
    <w:p w:rsidRPr="00E16162">
      <w:pPr>
        <w:spacing w:beforeAutospacing="1"/>
        <w:jc w:val="center"/>
      </w:pPr>
      <w:r w:rsidRPr="00E16162">
        <w:drawing>
          <wp:inline>
            <wp:extent cx="6295390" cy="3513953"/>
            <wp:docPr id="100014" name="" descr="_scroll_external/attachments/image2023-9-19_9-12-55-e275b8f701220796c522fe66ba76cda16d42a7c8584fec820c21c863e43b9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50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139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введите результаты гистологического исследования на вкладке "Макро- и Микроскопическое описание". Для последующего формирования СЭМД заполните поля согласно приведенной ниже таблице</w:t>
      </w:r>
      <w:r w:rsidRPr="00E16162">
        <w:rPr>
          <w:color w:val="000000"/>
        </w:rPr>
        <w:t>;</w:t>
      </w:r>
      <w:r w:rsidRPr="00E16162">
        <w:rPr>
          <w:color w:val="000000"/>
        </w:rPr>
        <w:br/>
      </w:r>
      <w:r>
        <w:t>Поля, заполняемые для последующего формирования СЭМД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Поля, заполняемые для последующего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2150"/>
        <w:gridCol w:w="4127"/>
        <w:gridCol w:w="2150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2" w:name="scroll-bookmark-14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22"/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Макроскопическое описание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макроскопическое описание полученных образцов. Описание можно ввести вручную, а также используя заранее настроенные шаблоны, выбрав их в блоке "Доступные шаблоны"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304800" cy="333375"/>
                  <wp:docPr id="100015" name="" descr="_scroll_external/attachments/image2023-5-23_11-9-21-df97fa178d025491ada4b189eb213c9b5603ad3af4356aab4c7560d4d6d22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26079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 время вырезки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 время вырезки тканевых фрагментов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Микроскопическое описание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микроскопическое описание полученных образцов. Описание можно ввести вручную, а также используя заранее настроенные шаблоны, выбрав их в блоке "Доступные шаблоны"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304800" cy="333375"/>
                  <wp:docPr id="100016" name="" descr="_scroll_external/attachments/image2023-5-23_11-9-21-df97fa178d025491ada4b189eb213c9b5603ad3af4356aab4c7560d4d6d22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568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Заключение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произвольный текст заключения по проведенному гистологическому исследованию. Текст заключения можно ввести вручную, а также используя заранее настроенные шаблоны, выбрав их в блоке "Доступные шаблоны"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304800" cy="333375"/>
                  <wp:docPr id="100017" name="" descr="_scroll_external/attachments/image2023-5-23_11-9-21-df97fa178d025491ada4b189eb213c9b5603ad3af4356aab4c7560d4d6d22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190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Код МКБ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шифр по МКБ-10 по итогам проведенного гистологического исследования (заключительный диагноз).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В СЭМД включается код и наименование диагноза по справочнику ФРНСИ "Международная статистическая классификация болезней и проблем, связанных со здоровьем (10-й пересмотр)" с OID "1.2.643.5.1.13.13.11.1005". Настройка сопоставления шифра по МКБ-10, указанного пользователем в Системе, со значением справочника ФРНСИ осуществляется Администратором Системы.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МКБ-O3 Морфология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морфологический тип (выявленные патологии)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Врачи-консультанты</w:t>
            </w:r>
          </w:p>
        </w:tc>
        <w:tc>
          <w:tcPr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врачей-консультантов, задействованных в проведении гистологического исследования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</w:tbl>
    <w:p>
      <w:pPr>
        <w:pStyle w:val="ScrollListBullet"/>
        <w:ind w:left="1781"/>
      </w:pPr>
      <w:r w:rsidRPr="00E16162">
        <w:rPr>
          <w:color w:val="000000"/>
        </w:rPr>
        <w:t>   </w:t>
      </w:r>
    </w:p>
    <w:p>
      <w:pPr>
        <w:pStyle w:val="ScrollListBullet"/>
        <w:numPr>
          <w:ilvl w:val="0"/>
          <w:numId w:val="52"/>
        </w:numPr>
        <w:ind w:left="1780"/>
      </w:pPr>
      <w:r>
        <w:rPr>
          <w:color w:val="000000"/>
        </w:rPr>
        <w:t>нажмите на кнопку "Сохранить" для сохранения внесенных данных;</w:t>
      </w:r>
    </w:p>
    <w:p>
      <w:pPr>
        <w:pStyle w:val="ScrollListBullet"/>
        <w:numPr>
          <w:ilvl w:val="0"/>
          <w:numId w:val="52"/>
        </w:numPr>
        <w:ind w:left="1780"/>
      </w:pPr>
      <w:r>
        <w:rPr>
          <w:color w:val="000000"/>
        </w:rPr>
        <w:t>нажмите на кнопку "Подписать" для валидации результатов проведенного гистологического исследования. Завершенное гистологическое исследование выделяется в списке зеленым цветом и помечается значком </w:t>
      </w:r>
      <w:r>
        <w:rPr>
          <w:color w:val="000000"/>
        </w:rPr>
        <w:drawing>
          <wp:inline>
            <wp:extent cx="276225" cy="276225"/>
            <wp:docPr id="100018" name="" descr="_scroll_external/attachments/image2023-5-23_13-11-18-aa8e8cc327ec897f62547c2d0704eec7be43fe2f647ae12afa4f45a167913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98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("Валидировано").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того чтобы провалидированные исследования отображались в списке, необходимо установить флажок "Отображать завершенные" в верхней части формы при поиске/фильтрации образцов, забранных для гистологического исследования.</w:t>
            </w:r>
          </w:p>
        </w:tc>
      </w:tr>
    </w:tbl>
    <w:p/>
    <w:p w:rsidRPr="00E16162">
      <w:pPr>
        <w:jc w:val="center"/>
      </w:pPr>
      <w:r w:rsidRPr="00E16162">
        <w:rPr>
          <w:color w:val="000000"/>
        </w:rPr>
        <w:drawing>
          <wp:inline>
            <wp:extent cx="5295900" cy="2562225"/>
            <wp:docPr id="100019" name="" descr="_scroll_external/attachments/image2023-5-23_13-10-8-715bec3ebde66d2e6d525b6e965fd49cbee2252381184ef52aecf0daf3ad6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43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62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1"/>
        <w:ind w:left="851"/>
      </w:pPr>
      <w:bookmarkStart w:id="23" w:name="scroll-bookmark-15"/>
      <w:bookmarkStart w:id="24" w:name="_Toc256000008"/>
      <w:r>
        <w:t>Формирование СЭМД. Интеграция с РЭМД. СЭМД "Протокол прижизненного патологоанатомического исследования"</w:t>
      </w:r>
      <w:bookmarkEnd w:id="24"/>
      <w:bookmarkEnd w:id="23"/>
    </w:p>
    <w:p>
      <w:r>
        <w:t>СЭМД "Протокол прижизненного патологоанатомического исследования" формируется на основании оказанной пациенту услуги прижизненного патолого-анатомического исследования. 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Услуга прижизненного патолого-анатомического исследования должна быть предварительно настроена согласно Руководству администратора компонента "</w:t>
            </w:r>
            <w:hyperlink r:id="rId22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Интеграция с РЭМД. СЭМД "Протокол прижизненного патологоанатомического исследования"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r w:rsidRPr="00E16162">
        <w:t>Чтобы сформировать СЭМД "Протокол прижизненного патологоанатомического исследования", выполните следующие действия: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964704"/>
            <wp:docPr id="100020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6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64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55"/>
        </w:numPr>
        <w:ind w:left="1780"/>
      </w:pPr>
      <w:r>
        <w:rPr>
          <w:color w:val="172B4D"/>
        </w:rPr>
        <w:t>выберите в дневнике назначенную пациенту услугу "Протокол прижизненного патологоанатомического исследования" и нажмите на ссылку "Оказать". Откроется окно оказания приёма;</w:t>
      </w:r>
    </w:p>
    <w:p>
      <w:pPr>
        <w:pStyle w:val="ScrollListBullet"/>
        <w:numPr>
          <w:ilvl w:val="0"/>
          <w:numId w:val="55"/>
        </w:numPr>
        <w:ind w:left="1780"/>
      </w:pPr>
      <w:r>
        <w:t>заполните все обязательные (выделенные цветом) поля в окне оказания услуги. А также заполните следующие поля, данные из которых включаются в СЭМД при формировании, указав в них любые значения:</w:t>
      </w:r>
    </w:p>
    <w:p>
      <w:pPr>
        <w:pStyle w:val="ScrollListBullet2"/>
        <w:numPr>
          <w:ilvl w:val="0"/>
          <w:numId w:val="56"/>
        </w:numPr>
        <w:ind w:left="2245"/>
      </w:pPr>
      <w:r>
        <w:t>"Регистрационный номер";</w:t>
      </w:r>
    </w:p>
    <w:p>
      <w:pPr>
        <w:pStyle w:val="ScrollListBullet2"/>
        <w:numPr>
          <w:ilvl w:val="0"/>
          <w:numId w:val="56"/>
        </w:numPr>
        <w:ind w:left="2245"/>
      </w:pPr>
      <w:r>
        <w:t>"Дата поступления биопсийного (операционного) материала" и "Время";</w:t>
      </w:r>
    </w:p>
    <w:p>
      <w:pPr>
        <w:pStyle w:val="ScrollListBullet2"/>
        <w:numPr>
          <w:ilvl w:val="0"/>
          <w:numId w:val="56"/>
        </w:numPr>
        <w:ind w:left="2245"/>
      </w:pPr>
      <w:r>
        <w:t>"Дата регистрации биопсийного (операционного) материала" и "Время";</w:t>
      </w:r>
    </w:p>
    <w:p>
      <w:pPr>
        <w:pStyle w:val="ScrollListBullet2"/>
        <w:numPr>
          <w:ilvl w:val="0"/>
          <w:numId w:val="56"/>
        </w:numPr>
        <w:ind w:left="2245"/>
      </w:pPr>
      <w:r>
        <w:t>"Основной диагноз";</w:t>
      </w:r>
    </w:p>
    <w:p>
      <w:pPr>
        <w:pStyle w:val="ScrollListBullet2"/>
        <w:numPr>
          <w:ilvl w:val="0"/>
          <w:numId w:val="56"/>
        </w:numPr>
        <w:ind w:left="2245"/>
      </w:pPr>
      <w:r>
        <w:t>данные о процедуре/операции взятия биоматериалов для исследования: </w:t>
      </w:r>
    </w:p>
    <w:p>
      <w:pPr>
        <w:pStyle w:val="ScrollListBullet3"/>
        <w:numPr>
          <w:ilvl w:val="0"/>
          <w:numId w:val="57"/>
        </w:numPr>
        <w:ind w:left="2592"/>
      </w:pPr>
      <w:r>
        <w:t>"Номер флакона";</w:t>
      </w:r>
    </w:p>
    <w:p>
      <w:pPr>
        <w:pStyle w:val="ScrollListBullet3"/>
        <w:numPr>
          <w:ilvl w:val="0"/>
          <w:numId w:val="57"/>
        </w:numPr>
        <w:ind w:left="2592"/>
      </w:pPr>
      <w:r>
        <w:t>"Локализация патологического процесса";</w:t>
      </w:r>
    </w:p>
    <w:p>
      <w:pPr>
        <w:pStyle w:val="ScrollListBullet3"/>
        <w:numPr>
          <w:ilvl w:val="0"/>
          <w:numId w:val="57"/>
        </w:numPr>
        <w:ind w:left="2592"/>
      </w:pPr>
      <w:r>
        <w:t>"Способ получения биопсийного (операционного) материала";</w:t>
      </w:r>
    </w:p>
    <w:p>
      <w:pPr>
        <w:pStyle w:val="ScrollListBullet3"/>
        <w:numPr>
          <w:ilvl w:val="0"/>
          <w:numId w:val="57"/>
        </w:numPr>
        <w:ind w:left="2592"/>
      </w:pPr>
      <w:r>
        <w:t>"Характер патологического процесса";</w:t>
      </w:r>
    </w:p>
    <w:p>
      <w:pPr>
        <w:pStyle w:val="ScrollListBullet3"/>
        <w:numPr>
          <w:ilvl w:val="0"/>
          <w:numId w:val="57"/>
        </w:numPr>
        <w:ind w:left="2592"/>
      </w:pPr>
      <w:r>
        <w:t>"Количество объектов";</w:t>
      </w:r>
    </w:p>
    <w:p>
      <w:pPr>
        <w:pStyle w:val="ScrollListBullet3"/>
        <w:numPr>
          <w:ilvl w:val="0"/>
          <w:numId w:val="57"/>
        </w:numPr>
        <w:ind w:left="2592"/>
      </w:pPr>
      <w:r>
        <w:t>"Дата забора материала" и "Время";</w:t>
      </w:r>
    </w:p>
    <w:p>
      <w:pPr>
        <w:pStyle w:val="ScrollListBullet3"/>
        <w:numPr>
          <w:ilvl w:val="0"/>
          <w:numId w:val="57"/>
        </w:numPr>
        <w:ind w:left="2592"/>
      </w:pPr>
      <w:r>
        <w:t>"Отметка о сохранности упаковки";</w:t>
      </w:r>
    </w:p>
    <w:p>
      <w:pPr>
        <w:pStyle w:val="ScrollListBullet3"/>
        <w:numPr>
          <w:ilvl w:val="0"/>
          <w:numId w:val="57"/>
        </w:numPr>
        <w:ind w:left="2592"/>
      </w:pPr>
      <w:r>
        <w:t>"Материал помещен в 10%-ный раствор нейтрального формалина";</w:t>
      </w:r>
    </w:p>
    <w:p>
      <w:pPr>
        <w:pStyle w:val="ScrollListBullet3"/>
        <w:numPr>
          <w:ilvl w:val="0"/>
          <w:numId w:val="57"/>
        </w:numPr>
        <w:ind w:left="2592"/>
      </w:pPr>
      <w:r>
        <w:t>"Загрязнен";</w:t>
      </w:r>
    </w:p>
    <w:p>
      <w:pPr>
        <w:pStyle w:val="ScrollListBullet2"/>
        <w:numPr>
          <w:ilvl w:val="0"/>
          <w:numId w:val="56"/>
        </w:numPr>
        <w:ind w:left="2245"/>
      </w:pPr>
      <w:r>
        <w:t>"Дата проведения вырезки" и «Время";</w:t>
      </w:r>
    </w:p>
    <w:p>
      <w:pPr>
        <w:pStyle w:val="ScrollListBullet2"/>
        <w:numPr>
          <w:ilvl w:val="0"/>
          <w:numId w:val="56"/>
        </w:numPr>
        <w:ind w:left="2245"/>
      </w:pPr>
      <w:r>
        <w:t>"В проводку взято объектов";</w:t>
      </w:r>
    </w:p>
    <w:p>
      <w:pPr>
        <w:pStyle w:val="ScrollListBullet2"/>
        <w:numPr>
          <w:ilvl w:val="0"/>
          <w:numId w:val="56"/>
        </w:numPr>
        <w:ind w:left="2245"/>
      </w:pPr>
      <w:r>
        <w:t>"Макроскопическое описание";</w:t>
      </w:r>
    </w:p>
    <w:p>
      <w:pPr>
        <w:pStyle w:val="ScrollListBullet2"/>
        <w:numPr>
          <w:ilvl w:val="0"/>
          <w:numId w:val="56"/>
        </w:numPr>
        <w:ind w:left="2245"/>
      </w:pPr>
      <w:r>
        <w:t>"Назначенные окраски (реакции, определения)";</w:t>
      </w:r>
    </w:p>
    <w:p>
      <w:pPr>
        <w:pStyle w:val="ScrollListBullet2"/>
        <w:numPr>
          <w:ilvl w:val="0"/>
          <w:numId w:val="56"/>
        </w:numPr>
        <w:ind w:left="2245"/>
      </w:pPr>
      <w:r>
        <w:t>"Микроскопическое описание";</w:t>
      </w:r>
    </w:p>
    <w:p>
      <w:pPr>
        <w:pStyle w:val="ScrollListBullet2"/>
        <w:numPr>
          <w:ilvl w:val="0"/>
          <w:numId w:val="56"/>
        </w:numPr>
        <w:ind w:left="2245"/>
      </w:pPr>
      <w:r>
        <w:t>"Заключение";</w:t>
      </w:r>
    </w:p>
    <w:p>
      <w:pPr>
        <w:pStyle w:val="ScrollListBullet2"/>
        <w:numPr>
          <w:ilvl w:val="0"/>
          <w:numId w:val="56"/>
        </w:numPr>
        <w:ind w:left="2245"/>
      </w:pPr>
      <w:r>
        <w:t>"Категория сложности";</w:t>
      </w:r>
    </w:p>
    <w:p>
      <w:pPr>
        <w:pStyle w:val="ScrollListBullet2"/>
        <w:numPr>
          <w:ilvl w:val="0"/>
          <w:numId w:val="56"/>
        </w:numPr>
        <w:ind w:left="2245"/>
      </w:pPr>
      <w:r>
        <w:t>"Комментарии к заключению и рекомендации";</w:t>
      </w:r>
    </w:p>
    <w:p>
      <w:pPr>
        <w:pStyle w:val="ScrollListBullet2"/>
        <w:numPr>
          <w:ilvl w:val="0"/>
          <w:numId w:val="56"/>
        </w:numPr>
        <w:ind w:left="2245"/>
      </w:pPr>
      <w:r>
        <w:t>"Медицинские услуги";</w:t>
      </w:r>
    </w:p>
    <w:p>
      <w:pPr>
        <w:pStyle w:val="ScrollListBullet"/>
        <w:numPr>
          <w:ilvl w:val="0"/>
          <w:numId w:val="55"/>
        </w:numPr>
        <w:ind w:left="1780"/>
      </w:pPr>
      <w:r>
        <w:t>нажмите на кнопку "Применить" для сохранения внесенных данных;</w:t>
      </w:r>
    </w:p>
    <w:p>
      <w:pPr>
        <w:keepNext/>
        <w:spacing w:beforeAutospacing="1"/>
        <w:jc w:val="center"/>
      </w:pPr>
      <w:r>
        <w:drawing>
          <wp:inline>
            <wp:extent cx="6295390" cy="3527300"/>
            <wp:docPr id="100021" name="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5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27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редактирования услуги</w:t>
      </w:r>
    </w:p>
    <w:p/>
    <w:p>
      <w:pPr>
        <w:pStyle w:val="ScrollListBullet"/>
        <w:numPr>
          <w:ilvl w:val="0"/>
          <w:numId w:val="58"/>
        </w:numPr>
        <w:ind w:left="1780"/>
      </w:pPr>
      <w:r>
        <w:rPr>
          <w:color w:val="172B4D"/>
        </w:rPr>
        <w:t xml:space="preserve">перейдите на вкладку "Документы" и </w:t>
      </w:r>
      <w:r>
        <w:t xml:space="preserve">нажмите на кнопку "Сформировать и подписать документы (СЭМД)". </w:t>
      </w:r>
      <w:r>
        <w:rPr>
          <w:color w:val="172B4D"/>
        </w:rPr>
        <w:t>При нажатии на кнопку выполняется ряд проверок:</w:t>
      </w:r>
    </w:p>
    <w:p>
      <w:pPr>
        <w:pStyle w:val="ScrollListBullet2"/>
        <w:numPr>
          <w:ilvl w:val="0"/>
          <w:numId w:val="59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59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60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60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60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60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3824746"/>
            <wp:docPr id="100022" name="" descr="Окно формирования и подпис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247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формирования и подписания электронного документа</w:t>
      </w:r>
    </w:p>
    <w:p/>
    <w:p>
      <w:pPr>
        <w:pStyle w:val="ScrollListBullet"/>
        <w:numPr>
          <w:ilvl w:val="0"/>
          <w:numId w:val="61"/>
        </w:numPr>
        <w:ind w:left="1780"/>
      </w:pPr>
      <w:r>
        <w:t>укажите сертификат ЭП автора документа в поле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3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нажмите на кнопку "Подписать". </w:t>
      </w:r>
      <w:r w:rsidRPr="00E16162">
        <w:t>Произойдет формирование СЭМД "Протокол прижизненного патологоанатомического исследования",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"Протокол прижизненного патологоанатомического исследования"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1"/>
        <w:ind w:left="851"/>
      </w:pPr>
      <w:bookmarkStart w:id="25" w:name="scroll-bookmark-16"/>
      <w:bookmarkStart w:id="26" w:name="_Toc256000009"/>
      <w:r w:rsidRPr="00E16162">
        <w:t>Подписание СЭМД другими участниками. Интеграция с РЭМД. СЭМД "Протокол прижизненного патологоанатомического исследования"</w:t>
      </w:r>
      <w:bookmarkEnd w:id="26"/>
      <w:bookmarkEnd w:id="25"/>
    </w:p>
    <w:p w:rsidRPr="00E16162">
      <w:r w:rsidRPr="00E16162">
        <w:t>Если помимо автора СЭМД "</w:t>
      </w:r>
      <w:r w:rsidRPr="00E16162">
        <w:rPr>
          <w:color w:val="172B4D"/>
        </w:rPr>
        <w:t>Направление на консультацию и во вспомогательные кабинеты</w:t>
      </w:r>
      <w:r>
        <w:t>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6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27" w:name="scroll-bookmark-17"/>
      <w:bookmarkStart w:id="28" w:name="_Toc256000010"/>
      <w:r w:rsidRPr="00E16162">
        <w:t>Подписание или отказ в подписании одного документа</w:t>
      </w:r>
      <w:bookmarkEnd w:id="28"/>
      <w:bookmarkEnd w:id="27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7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24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65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7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67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9" w:name="scroll-bookmark-18"/>
      <w:bookmarkStart w:id="30" w:name="_Toc256000011"/>
      <w:r w:rsidRPr="00E16162">
        <w:t>Отказ в подписании одного документа с указанием причины отказа</w:t>
      </w:r>
      <w:bookmarkEnd w:id="30"/>
      <w:bookmarkEnd w:id="29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5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26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7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31" w:name="scroll-bookmark-19"/>
      <w:bookmarkStart w:id="32" w:name="_Toc256000012"/>
      <w:r w:rsidRPr="00E16162">
        <w:t>Массовое подписание или отказ в подписании документов</w:t>
      </w:r>
      <w:bookmarkEnd w:id="32"/>
      <w:bookmarkEnd w:id="31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2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5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28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6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4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4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33" w:name="scroll-bookmark-20"/>
      <w:bookmarkStart w:id="34" w:name="_Toc256000013"/>
      <w:r w:rsidRPr="00E16162">
        <w:t>Отправка СЭМД в РЭМД. Интеграция с РЭМД. СЭМД "Протокол прижизненного патологоанатомического исследования"</w:t>
      </w:r>
      <w:bookmarkEnd w:id="34"/>
      <w:bookmarkEnd w:id="33"/>
    </w:p>
    <w:p w:rsidRPr="00E16162">
      <w:r w:rsidRPr="00E16162">
        <w:t>После того как документ "Протокол прижизненного патологоанатомического исследования"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35" w:name="scroll-bookmark-21"/>
      <w:bookmarkStart w:id="36" w:name="_Toc256000014"/>
      <w:r w:rsidRPr="00E16162">
        <w:t>Отправка СЭМД автором документа в Дневнике врача</w:t>
      </w:r>
      <w:bookmarkEnd w:id="36"/>
      <w:bookmarkEnd w:id="35"/>
    </w:p>
    <w:p w:rsidRPr="00E16162">
      <w:r w:rsidRPr="00E16162">
        <w:t>Чтобы отправить СЭМД "Протокол прижизненного патологоанатомического исследования" в РЭМД, выполните следующие действия: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rPr>
          <w:color w:val="172B4D"/>
        </w:rPr>
        <w:t>выберите пункт главного меню "Рабочие места" → "Дневник". Откроется основное рабочее место врача;</w:t>
      </w:r>
    </w:p>
    <w:p>
      <w:pPr>
        <w:jc w:val="center"/>
      </w:pPr>
      <w:r>
        <w:rPr>
          <w:color w:val="172B4D"/>
        </w:rPr>
        <w:drawing>
          <wp:inline>
            <wp:extent cx="6295390" cy="2404795"/>
            <wp:docPr id="100029" name="" descr="_scroll_external/attachments/image2021-12-6_5-42-44-04c90d4fc6d373064a080bd55688a0a0b0d62638656175d12250f7c5fa15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57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47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6"/>
        </w:numPr>
        <w:ind w:left="1780"/>
      </w:pPr>
      <w:r>
        <w:rPr>
          <w:color w:val="172B4D"/>
        </w:rPr>
        <w:t>выберите в дневнике оказанную пациенту услугу "Протокол прижизненного патологоанатомического исследования" и нажмите на ссылку "Редактировать". Откроется окно редактирования приёма;</w:t>
      </w:r>
    </w:p>
    <w:p>
      <w:pPr>
        <w:jc w:val="center"/>
      </w:pPr>
      <w:r>
        <w:rPr>
          <w:color w:val="172B4D"/>
        </w:rPr>
        <w:drawing>
          <wp:inline>
            <wp:extent cx="6295390" cy="3234945"/>
            <wp:docPr id="100030" name="" descr="_scroll_external/attachments/image2021-12-6_5-50-24-3329d89fd1f1915e35270bb910b22f6100f367a122235e414ccc230f6735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29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4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7"/>
        </w:numPr>
        <w:ind w:left="1780"/>
      </w:pPr>
      <w:r>
        <w:rPr>
          <w:color w:val="172B4D"/>
        </w:rPr>
        <w:t>перейдите на вкладку "Документы" и </w:t>
      </w:r>
      <w:r>
        <w:t>выберите подписанный документ "Протокол прижизненного патологоанатомического исследования";</w:t>
      </w:r>
    </w:p>
    <w:p>
      <w:pPr>
        <w:pStyle w:val="ScrollListBullet"/>
        <w:numPr>
          <w:ilvl w:val="0"/>
          <w:numId w:val="77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31" name="" descr="_scroll_external/attachments/image2022-4-27_10-46-46-e8b52020e5f3f62cc27ee39144d38e07d3023f4eea0cae2aff2cac5738bad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3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32" name="" descr="_scroll_external/attachments/image2022-4-27_10-52-27-aa9fc8935eab0615e3ed60cbdaa92c901114bddb1a47449268fbe94613aeb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3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8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33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86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 (см. "</w:t>
      </w:r>
      <w:hyperlink w:anchor="scroll-bookmark-22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7" w:name="scroll-bookmark-23"/>
      <w:bookmarkStart w:id="38" w:name="_Toc256000015"/>
      <w:r>
        <w:t>Отправка СЭМД на регистрацию в РЭМД участником подписания</w:t>
      </w:r>
      <w:bookmarkEnd w:id="38"/>
      <w:bookmarkEnd w:id="37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СЭМД "</w:t>
      </w:r>
      <w:r>
        <w:t>Протокол прижизненного патологоанатомического исследования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80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899230"/>
            <wp:docPr id="100034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3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992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81"/>
        </w:numPr>
        <w:ind w:left="1780"/>
      </w:pPr>
      <w:r>
        <w:t>выберите в списке документ "Протокол прижизненного патологоанатомического исследования", находящийся в статусе подписания "Подписан пользователем" и</w:t>
      </w:r>
      <w:r>
        <w:t> 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81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2"/>
        </w:numPr>
        <w:ind w:left="2245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581525" cy="1095375"/>
            <wp:docPr id="100035" name="" descr="Сообщение об отсутствии подписей всех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33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Сообщение об отсутствии подписей всех участников подписания</w:t>
      </w:r>
    </w:p>
    <w:p>
      <w:pPr>
        <w:pStyle w:val="ScrollListBullet2"/>
        <w:ind w:left="2245"/>
      </w:pPr>
      <w:r>
        <w:t>  </w:t>
      </w:r>
    </w:p>
    <w:p>
      <w:pPr>
        <w:pStyle w:val="ScrollListBullet2"/>
        <w:numPr>
          <w:ilvl w:val="0"/>
          <w:numId w:val="82"/>
        </w:numPr>
        <w:ind w:left="2245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905375" cy="1247775"/>
            <wp:docPr id="100036" name="" descr="Сообщение об отсутствии подписи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отсутствии подписи МО</w:t>
      </w:r>
    </w:p>
    <w:p>
      <w:pPr>
        <w:pStyle w:val="ScrollListBullet2"/>
        <w:ind w:left="2245"/>
      </w:pPr>
      <w:r>
        <w:t>  </w:t>
      </w:r>
    </w:p>
    <w:p>
      <w:pPr>
        <w:pStyle w:val="ScrollListBullet2"/>
        <w:numPr>
          <w:ilvl w:val="0"/>
          <w:numId w:val="82"/>
        </w:numPr>
        <w:ind w:left="2245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в РЭМД" (см. "</w:t>
      </w:r>
      <w:hyperlink r:id="rId38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9" w:name="scroll-bookmark-24"/>
      <w:bookmarkStart w:id="40" w:name="_Toc256000016"/>
      <w:r>
        <w:t>Автоматическая отправка СЭМД на регистрацию в РЭМД</w:t>
      </w:r>
      <w:bookmarkEnd w:id="40"/>
      <w:bookmarkEnd w:id="39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41" w:name="scroll-bookmark-22"/>
      <w:bookmarkStart w:id="42" w:name="_Toc256000017"/>
      <w:r>
        <w:t>Отслеживание ответа от РЭМД о регистрации СЭМД</w:t>
      </w:r>
      <w:bookmarkEnd w:id="42"/>
      <w:bookmarkEnd w:id="41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43" w:name="scroll-bookmark-25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43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9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40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1"/>
      <w:footerReference w:type="default" r:id="rId4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43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45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https://conf.bars.group/x/1DxVCw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"Протокол прижизненного патологоанатомического исследования"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hybridMultilevel"/>
    <w:tmpl w:val="757968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hybridMultilevel"/>
    <w:tmpl w:val="7579688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hybridMultilevel"/>
    <w:tmpl w:val="7579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579688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>
    <w:nsid w:val="757968A0"/>
    <w:multiLevelType w:val="hybridMultilevel"/>
    <w:tmpl w:val="7579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hybridMultilevel"/>
    <w:tmpl w:val="7579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57968A5"/>
    <w:multiLevelType w:val="hybridMultilevel"/>
    <w:tmpl w:val="757968A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57968A6"/>
    <w:multiLevelType w:val="hybridMultilevel"/>
    <w:tmpl w:val="7579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117361417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jpeg" /><Relationship Id="rId15" Type="http://schemas.openxmlformats.org/officeDocument/2006/relationships/image" Target="media/image5.jpe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hyperlink" Target="https://conf.bars.group/pages/viewpage.action?pageId=189722984" TargetMode="External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hyperlink" Target="https://nsi.rosminzdrav.ru/#!/refbook/1.2.643.5.1.13.13.99.2.42" TargetMode="External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hyperlink" Target="https://conf.bars.group/pages/viewpage.action?pageId=186907081#id-&#1055;&#1077;&#1088;&#1077;&#1076;&#1072;&#1095;&#1072;&#1057;&#1069;&#1052;&#1044;&#1074;&#1056;&#1069;&#1052;&#1044;.&#1048;&#1085;&#1090;&#1077;&#1075;&#1088;&#1072;&#1094;&#1080;&#1103;&#1089;&#1056;&#1069;&#1052;&#1044;.&#1057;&#1069;&#1052;&#1044;" TargetMode="External" /><Relationship Id="rId39" Type="http://schemas.openxmlformats.org/officeDocument/2006/relationships/hyperlink" Target="https://nsi.rosminzdrav.ru/#!/refbook/1.2.643.5.1.13.13.99.2.305/version/3.6" TargetMode="External" /><Relationship Id="rId4" Type="http://schemas.openxmlformats.org/officeDocument/2006/relationships/customXml" Target="../customXml/item1.xml" /><Relationship Id="rId40" Type="http://schemas.openxmlformats.org/officeDocument/2006/relationships/header" Target="header3.xml" /><Relationship Id="rId41" Type="http://schemas.openxmlformats.org/officeDocument/2006/relationships/header" Target="header4.xml" /><Relationship Id="rId42" Type="http://schemas.openxmlformats.org/officeDocument/2006/relationships/footer" Target="footer4.xml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1DxV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45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