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5C" w:rsidRPr="007135B1" w:rsidRDefault="007135B1">
      <w:pPr>
        <w:jc w:val="center"/>
        <w:rPr>
          <w:rFonts w:asciiTheme="minorHAnsi" w:hAnsiTheme="minorHAnsi"/>
          <w:sz w:val="24"/>
          <w:szCs w:val="24"/>
        </w:rPr>
      </w:pPr>
      <w:r w:rsidRPr="007135B1">
        <w:rPr>
          <w:rFonts w:asciiTheme="minorHAnsi" w:hAnsiTheme="minorHAnsi"/>
          <w:b/>
          <w:sz w:val="24"/>
          <w:szCs w:val="24"/>
        </w:rPr>
        <w:t>Тест: "</w:t>
      </w:r>
      <w:proofErr w:type="gramStart"/>
      <w:r w:rsidRPr="007135B1">
        <w:rPr>
          <w:rFonts w:asciiTheme="minorHAnsi" w:hAnsiTheme="minorHAnsi"/>
          <w:b/>
          <w:sz w:val="24"/>
          <w:szCs w:val="24"/>
        </w:rPr>
        <w:t>Радиология-ядерная</w:t>
      </w:r>
      <w:proofErr w:type="gramEnd"/>
      <w:r w:rsidRPr="007135B1">
        <w:rPr>
          <w:rFonts w:asciiTheme="minorHAnsi" w:hAnsiTheme="minorHAnsi"/>
          <w:b/>
          <w:sz w:val="24"/>
          <w:szCs w:val="24"/>
        </w:rPr>
        <w:t xml:space="preserve"> медицина".</w:t>
      </w:r>
    </w:p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 каком году состоялась 1-я Международная конференция по мирному использованию атомной энергии (Женева)?</w:t>
            </w:r>
            <w:bookmarkStart w:id="0" w:name="_GoBack"/>
            <w:bookmarkEnd w:id="0"/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1953 г.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1954 г.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1955 г.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1956 г.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1957 г.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При каких значениях t (критерий Стьюдента) различия между двумя совокупностями  всегда можно считать достоверными?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t&gt;1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t&gt;1,5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t&gt;1,75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t&gt;2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t&gt;3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тип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взаимодействия гамма излучения с окружающей средой.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Ионизация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Образование пар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Фотоэлектрическое поглощение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Обратное рассеяние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Комптон-эффект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 называется величина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описываемая формулой.</w:t>
            </w:r>
          </w:p>
          <w:p w:rsidR="0056155C" w:rsidRPr="007135B1" w:rsidRDefault="0056155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noProof/>
                <w:sz w:val="24"/>
                <w:szCs w:val="24"/>
              </w:rPr>
              <w:drawing>
                <wp:inline distT="0" distB="0" distL="0" distR="0" wp14:anchorId="7CF0897B" wp14:editId="32D71EC2">
                  <wp:extent cx="2924175" cy="904875"/>
                  <wp:effectExtent l="0" t="0" r="0" b="0"/>
                  <wp:docPr id="1" name="P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Х - период полувыведения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 -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постоянная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распада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Х - эффективный период полураспада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Х - эквивалентный период полураспада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Х - экспозиционный период полураспада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Сколько периодов полураспада должно случиться, чтобы активность радиоактивного препарата уменьшилась  в результате распада в 64 раза?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9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24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Символ “m” ,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следующий за указателем массового числа свидетельствует о том,  что ядро атома является: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стабильным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возбужденным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делящимся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метастабильным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синтезируемым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Укажите, какие элементарные частицы имеют «конечную массу покоя»?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фотоны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электроны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протоны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нейтроны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нейтрино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Сколько периодов полураспада должно произойти, чтобы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активность радиоактивного препарата уменьшилась в результате распада в 4096 раза?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9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24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оптимальное рабочее напряжение сцинтилляционного радиометра с учетом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параметров изображенных на рисунке.</w:t>
            </w:r>
          </w:p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noProof/>
                <w:sz w:val="24"/>
                <w:szCs w:val="24"/>
              </w:rPr>
              <w:drawing>
                <wp:inline distT="0" distB="0" distL="0" distR="0" wp14:anchorId="01C3C1B0" wp14:editId="4DEA1BCF">
                  <wp:extent cx="6057900" cy="3028950"/>
                  <wp:effectExtent l="0" t="0" r="0" b="0"/>
                  <wp:docPr id="2" name="P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302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155C" w:rsidRPr="007135B1" w:rsidRDefault="0056155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Где:       А - сигнал от источника,  В - фон,  С - тепловой шум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оптимальное рабочее напряжение сцинтилляционного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детектора.</w:t>
            </w:r>
          </w:p>
          <w:p w:rsidR="0056155C" w:rsidRPr="007135B1" w:rsidRDefault="0056155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noProof/>
                <w:sz w:val="24"/>
                <w:szCs w:val="24"/>
              </w:rPr>
              <w:drawing>
                <wp:inline distT="0" distB="0" distL="0" distR="0" wp14:anchorId="2939A7C0" wp14:editId="23E5292C">
                  <wp:extent cx="5048250" cy="2438400"/>
                  <wp:effectExtent l="0" t="0" r="0" b="0"/>
                  <wp:docPr id="3" name="P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0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Б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Г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Какое значение «потерь» импульсов, из-за нелинейности скорости счета, является допустимым  при измерении высокоактивных препаратов?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3%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5%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7%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10%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15%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На рисунке представлены результаты оценки пространственного разрешения 3-х коллиматоров по функции «ширины линии». Укажите, в каком случае разрешение сканера максимальное.</w:t>
            </w:r>
          </w:p>
          <w:p w:rsidR="0056155C" w:rsidRPr="007135B1" w:rsidRDefault="0056155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noProof/>
                <w:sz w:val="24"/>
                <w:szCs w:val="24"/>
              </w:rPr>
              <w:drawing>
                <wp:inline distT="0" distB="0" distL="0" distR="0" wp14:anchorId="29694E35" wp14:editId="47EA1D32">
                  <wp:extent cx="5067300" cy="1704975"/>
                  <wp:effectExtent l="0" t="0" r="0" b="0"/>
                  <wp:docPr id="4" name="P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0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Как изменяется «геометрическая эффективность»  детектора сканера к плоскому источнику  с увеличением расстояния между ними?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возрастает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падает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не изменяется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сначала возрастает, затем падает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сначала падает, затем возрастает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№14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 влияет увеличение толщины монокристалла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NaI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(TI) на «разрешающую способность»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гамма-камеры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разрешающая способность падает 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разрешающая способность увеличивается 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не влияет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сначала увеличивается, затем падает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сначала падает, затем увеличивается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Укажите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какой из изображенных на рисунках коллиматоров относится к «дивергентным»?</w:t>
            </w:r>
          </w:p>
          <w:p w:rsidR="0056155C" w:rsidRPr="007135B1" w:rsidRDefault="0056155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noProof/>
                <w:sz w:val="24"/>
                <w:szCs w:val="24"/>
              </w:rPr>
              <w:drawing>
                <wp:inline distT="0" distB="0" distL="0" distR="0" wp14:anchorId="7B6EEE1D" wp14:editId="69B1BE67">
                  <wp:extent cx="5343525" cy="1495425"/>
                  <wp:effectExtent l="0" t="0" r="0" b="0"/>
                  <wp:docPr id="5" name="P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352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A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B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C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Сколько необходимо сделать замеров счета от источников  для оценки мертвого времени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гамма-камеры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какого параметра, измеряемого на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гамма-камере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необходимо точное измерение активности на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дозкалибраторе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разрешающей способности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чувствительности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линейности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фона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энергетического разрешения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Сколько имеет квадрантов бар-фантом, применяемый для оценки разрешающей способности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гамма-камеры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Основным недостатком прибора с датчиками для динамических исследований (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ренографа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) является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невысокая чувствительность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«слепая» установка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датчиков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узкий диапазон энергий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высокий фон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недостаточная разрешающая способность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пяти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гамма-камер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(А-Д) провели оценку разрешающей способности с помощью бар-фантомов. Какая гамма-камера имеет наилучшее разрешение?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2мм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2,5мм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3мм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3,5мм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4мм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При какой ситуации имеется наилучшая визуализация «холодных очагов»?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очаг диаметром 3 см. располагается на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глубине 3см при толщине слоя в зоне   расположения очага в 6 см.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очаг диаметром 2 см. располагается на глубине 3см при толщине слоя в зоне   расположения очага в 6 см.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очаг диаметром 3 см. располагается на глубине 4см при толщине слоя в зоне 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расположения очага в 6 см.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очаг диаметром 3 см. располагается на глубине 3см при толщине слоя в зоне   расположения очага в 7 см.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очаг диаметром 3 см. располагается на глубине 3см при толщине слоя в зоне   расположения очага в 8 см.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№22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определения интегральной неоднородности поля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гамма-камеры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требуются следующие параметры после регистрации изображения от равномерного источника: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максимальное значение счета в пикселе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минимальное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значение счета в пикселе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среднее значение счета в пикселе участка изображения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максимальное значение счета в пикселе и минимальное значение счета в пикселе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максимальное значение счета в пикселе и среднее значение счета в пикселе участка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изображения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Размерность одного пиксела составляет 4мм на матрице 128х128. Вертикальный размер изображения органа составляет 10 пиксел на матрице 64х64. Определить данный размер в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см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 см.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см.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8 см.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10 см.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40 см.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Для того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что бы определить площадь изображения органа, которая задана в пикселях, в квадратных см, зная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геоиетрическую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размерность пиксела (k) , следует умножить количество пиксел составляющих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площадь изображения органа на: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1/2k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k/2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(k)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2k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4k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Геометрическая размерность пиксела на матрице 256х256 составляет 2,5 мм. Определить площадь изображения органа в квадратных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сантиметрах, которая на матрице 128х128 составляет 100 пиксел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4 см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16 см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25 см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50 см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100 см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Параметрические изображения применяются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статических исследований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динамических исследований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томосцинтиграфических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исследований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ПЭТ исследований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исследований всего тела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Преимущественным свойством «метки» при проведении  «ин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витро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» измерений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радиоактивности препарата обладает изотоп йода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1-123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1-124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1-125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1-129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1-131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Оптимальным методом получения короткоживущих радионуклидов в рутинной практике являются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технологии решающие эти задачи с помощью: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ядерного реактора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медицинского циклотрона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радионуклидного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генератора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нейтронной активации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радиохимического разделения сложных смесей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Удельная активность определяется как: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активность х объём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активность объём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активность  масса основного вещества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активность х масса основного вещества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активность + масса основного вещества 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Объёмная активность определяется как: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активность х объём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активность объём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активность масса основного вещества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активность х масса основного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вещества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активность + масса основного вещества 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Для вычисления объёма (V) при известной активности препарата (А) и его объёмной активности (С) используется формула.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V = C A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V = C x A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V = A C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V =A +C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V= √A x C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Химическая чистота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радиофармпрепарата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это: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отношение активности основного нуклида к общей активности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в растворе стабильных нуклидов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дол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я(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%) основного вещества в обозначенной химической формуле по отношению к суммарному количеству химических компонент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доля активности в сумме химических компонент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общее количество химических компонент в препарате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Радиохимическая чистота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радиофармпрепарата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это: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отношение активности основного нуклида к общей активности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в растворе стабильных нуклидов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отношение активности радионуклида в обозначенной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химической форме к общей активности данного радионуклида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доля активности в общем количестве химических компонент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общее количество активности радионуклида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 отдаленным радиационным эффектам относятся: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сокращение продолжительности жизни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уродства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возникновение злокачественных новообразований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лучевые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кактаракты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возникновение лейкозов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 основе повреждения наследственного аппарата клетки лежат: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ДНК рибосом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ионизация активных центров белков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ДНК хромосом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электролитного баланса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энергетического обмена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лечение опухолей щитовидной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железы с помощью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радиойода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наибольшей радиационной опасности персонал подвергается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фасовке препаратов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введении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препаратов больным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обслуживании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больных в палате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работе с радиоактивными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отходами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работе с кровью больных в лаборатории RIA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радиационными авариями при работе с РФП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радиофармпрепаратами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 относятся: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облучение или радиоактивное загрязнение персонала выше величин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установленных нормами радиационной безопасности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радиоактивное загрязнение производственных помещений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оборудования выше величин  установленных нормами радиационной безопасности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исчезновение или хищение радионуклидов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нахождение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радионуклидов в хранилище в количестве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ниже предусмотренного санитарно-эпидемиологическим заключением  радиоактивное загрязнение окружающей среды выше величин, установленных нормами радиационной безопасности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№38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Укажите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какие радионуклиды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применяются в РИА: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Н-3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I-125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r</w:t>
            </w:r>
            <w:proofErr w:type="spellEnd"/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-125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Fe-53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Tc-99m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Антитела - это: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карбогидраты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белки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липиды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углеводы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нуклеиновые кислоты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Молекулы антител принадлежат главным образом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IgA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IgD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IgE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IgG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IgM</w:t>
            </w:r>
            <w:proofErr w:type="spellEnd"/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использовании непреобразованных  данных (счет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образцов) и соответствующие им концентрации стандартов (в линейном масштабе) калибровочная кривая имеет характер: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гиперболический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сигмоидный</w:t>
            </w:r>
            <w:proofErr w:type="spellEnd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параболический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прямой линии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линейный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 xml:space="preserve"> №42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использовании логарифмического масштаба по оси X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концентрация ) и линейного масштаба по оси У (непреобразованного счета ) калибровочная кривая  имеет характер: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прямой линии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гиперболический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сигмоидный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параболический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линейный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Внесение в реакционную смесь сначала антигена (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аналита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) и  меченого антигена, а затем специфического антитела, осуществляется с целью: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ind w:firstLine="15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поставить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меченый и немеченый антигены в одинаковые условия по отношению к антителу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ind w:left="45" w:hanging="15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избежать возможного повреждения антител до вступления в реакцию меченого антигена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обеспечить лучшее распределение меченого и немеченого антигенов в реакционной среде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обеспечить преимущество меченому антигену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обеспечить преимущество немеченому антигену (</w:t>
            </w:r>
            <w:proofErr w:type="spell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аналиту</w:t>
            </w:r>
            <w:proofErr w:type="spellEnd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)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Какую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воспроизводимость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должны обеспечивать микропипетки при РИА соответственно международному стандарту?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KB &gt; 5%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KB &gt; 3%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KB &gt; 2 %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KB &gt; 1%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KB &gt; 10%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Какая ошибка счета</w:t>
            </w:r>
            <w:proofErr w:type="gram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 (% ) </w:t>
            </w:r>
            <w:proofErr w:type="gramEnd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допускается в работе радиометра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0,1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0,5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1,0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2,0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5,0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К какой характеристике метода связывания относится данное определение: "Минимальное количество  вещества, которое можно обнаружить с помощью данного метода в данных условиях указывает </w:t>
            </w:r>
            <w:proofErr w:type="gram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на</w:t>
            </w:r>
            <w:proofErr w:type="gramEnd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чувствительность метода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точность метода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достоверность  метода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специфичность метода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правильность метода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 какой характеристике метода связывания относится данное определение "</w:t>
            </w: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Степень влияния на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результат анализа </w:t>
            </w: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веществ,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отличных от анализируемого вещества, указывает </w:t>
            </w:r>
            <w:proofErr w:type="gram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на</w:t>
            </w:r>
            <w:proofErr w:type="gramEnd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чувствительность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точность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правильность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достоверность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специфичность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какой патологии сердца наблюдается раннее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заполнение левого желудочка и как следствие - уменьшение расстояния между пиками кривой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радиокардиограммы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тетради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Фалло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аортальной недостаточности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хронических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заболеваниях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легких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инфаркте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миокарда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стенозе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легочной артерии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Какое заболевание сердца обуславливает растянутость второго пика РКГ и длительную по времени визуализацию левого желудочка с элементами обратного заброса крови?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инфаркт миокарда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 аортального клапана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дефект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межпредсердной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перегородки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стеноз легочной артерии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хронические заболевания легких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признак при исследовании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внутривенном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введении макроагрегатов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альбумина-99т-Тс  свидетельствует о наличии внутрисердечных шунтов?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задержка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радиоиндикатора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легких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ускоренное выведение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радиоиндикатора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мочой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визуализация расширенных вен пищевода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появление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третьего пика на кривой РКГ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задержка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радиоиндикатора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печени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орган или система является критическим при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проведениирадиокардиографии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альбумином, меченным 131-J или 99m-Tc?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миокард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почки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легкие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кровь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щитовидная железа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каком положении рекомендуется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находится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пациенту. когда ему внутривенно вводится 99m -Тс-  МАА для исследования легких?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положении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сидя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лежа на животе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лежа на спине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лежа на боку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 любом удобном для пациента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Через какой интервал времени после ингаляционного введения Р-ЗЗ-</w:t>
            </w:r>
            <w:proofErr w:type="spell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Хе</w:t>
            </w:r>
            <w:proofErr w:type="spellEnd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 проводится  </w:t>
            </w:r>
            <w:proofErr w:type="spell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перфузионный</w:t>
            </w:r>
            <w:proofErr w:type="spellEnd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 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легочный тест?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60 минут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30 минут 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15 минут 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 минут 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 минута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Какие легочные показатели можно оценить с помощью внутривенного теста с 133-Хе?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кровяное давление в малом круге </w:t>
            </w: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кровообращения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кровяное давление в большом круге кровообращения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содержание кислорода в периферической крови 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влажность выдыхаемого легкого 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капиллярное кровенаполнение легких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параметры легочной функции можно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исследовать с помощью ингаляционного теста с 133-Xe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эластичность легочной ткани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скорость газообмена «</w:t>
            </w:r>
            <w:proofErr w:type="gram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легкие-атмосфера</w:t>
            </w:r>
            <w:proofErr w:type="gramEnd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»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общую емкость легких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капиллярного кровоснабжения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давление воздуха в трахее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Показатель отношение легочной вентиляции к перфузии (VE/PE)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авный 0,8-1,0 свидетельствует о: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выраженном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нарушении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вентиляции легких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локальном </w:t>
            </w:r>
            <w:proofErr w:type="gram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нарушении</w:t>
            </w:r>
            <w:proofErr w:type="gramEnd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 </w:t>
            </w: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капиллярного кровотока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отсутствии</w:t>
            </w:r>
            <w:proofErr w:type="gramEnd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 нарушений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явлениях</w:t>
            </w:r>
            <w:proofErr w:type="gramEnd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 капиллярного ацидоза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"Б" и "Г"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Обнаружение очагового дефекта накопления РФП в области проекции нижнего отдела левого легкого на передней задней косой и левой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боковой проекциях свидетельствует о: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выраженных </w:t>
            </w:r>
            <w:proofErr w:type="gram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нарушениях</w:t>
            </w:r>
            <w:proofErr w:type="gramEnd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 капиллярного кровотока в нижнедолевых сегментах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отсутствие альвеолярной вентиляции этих сегментов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кардиомегалии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наличия экссудата в </w:t>
            </w: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левой плевральной полости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правильно "А" и "Б"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Отношение показателей легочной вентиляции к перфузии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VE/PE) равное 1.2-1.4 свидетельствует о наличии: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нарушения капиллярного </w:t>
            </w: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кровообращения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нарушении</w:t>
            </w:r>
            <w:proofErr w:type="gramEnd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 легочной вентиляции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компрессионного синдрома легкого плевральным экссудатом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инфаркта легкого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гипертензии малого круга кровообращения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Отношение показателей легочной вентиляции к перфузии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VE/PE) равное 0,6-0,7 свидетельствует о наличии: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гипертензии малого круга кровообращения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нарушения капиллярного кровообращения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нарушения </w:t>
            </w:r>
            <w:proofErr w:type="spell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пегочной</w:t>
            </w:r>
            <w:proofErr w:type="spellEnd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 вентиляции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инфаркта легкого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пневмокониоза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каких состояниях на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сцинтиграммах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легких при исследовании с внутривенным введением  133-Хе определяются диффузные нарушения капиллярного кровообращения?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кавернозном </w:t>
            </w:r>
            <w:proofErr w:type="gram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туберкулезе</w:t>
            </w:r>
            <w:proofErr w:type="gramEnd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 легких 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периферическом раке легких</w:t>
            </w:r>
            <w:proofErr w:type="gram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центральном раке легких</w:t>
            </w:r>
            <w:proofErr w:type="gram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эмфиземе легких 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острой очаговой пневмонии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Диффузный легочный захват 99м-Тс-коллоида рассматривается как признак: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недостаточности печени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портальной гипертензии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обструкции верхней полой вены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синдрома </w:t>
            </w:r>
            <w:proofErr w:type="spell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гиперспленизма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специфического накопления коллоидов легочной тканью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Локальные участки повышенного («горячие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пятна») накопления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радиоколлоида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печени наблюдаются: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синдроме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портальной гипертензии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обструкции верхней полой вены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недостаточности печени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синдроме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гиперспленизма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избыточном </w:t>
            </w:r>
            <w:proofErr w:type="gram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введении</w:t>
            </w:r>
            <w:proofErr w:type="gramEnd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радиоколлоида</w:t>
            </w:r>
            <w:proofErr w:type="spellEnd"/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сцинтиграфические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признаки не характерны для внепеченочной блокады портального кровообращения: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размеров изображения печени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очаговый характер распределения РФП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равномерное распределение РФП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высокий уровень накопления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радиоколлоида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селезенкой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размеров изображения печени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Отличительным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сцинтиграфическим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критерием диффузных и очаговых изменений печени при  исследовании с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радиоколлоидом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является: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степень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гепатомегалии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величина накопления РФП селезенкой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характер распределения РФП в печени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изменение формы изображения печени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смещение изображения печени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одиночного очага при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сцинтиграфии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печени наиболее характерно для метастазов рака: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желчного пузыря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толстой кишки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поджелудочной железы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почки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щитовидной железы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№66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РФП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способный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накапливаться в печеночных метастазах рака молочной железы: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99м-Тс-пирофосфат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99м-Тс-мезида 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99м-Тс-коллоид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99м-Тс-ДТПА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99м-Тс-альбумин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При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подозрении на опухолевое поражение печени целесообразно для исследования использовать: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99м-Тс-броммезида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99м-Тс-коллоид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99м-Тс-ДТПА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99м-Тс-дифосфонат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99м-Тс-альбумин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стандартные точки используются для маркировки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сцинтиграфического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изображения печени в </w:t>
            </w: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передней проекции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реберный край на пересечении с подмышечной линией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остистый отросток 1-го грудного позвонка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мечевидный отросток грудины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нижний край лопатки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рукоятка грудины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стандартные точки используются для маркировки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сцинтиграфического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изображения печени в </w:t>
            </w: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задней проекции: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реберный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край на пересечении с подмышечной линией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остистый отросток 1-го грудного позвонка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мечевидный отросток грудины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нижний край лопатки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рукоятка грудины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Показатели ретенции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радиобенгалроз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крови и в печени рассчитываются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соотношением скоростей счета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на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5,0 и 2 мин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10,0 и 3 мин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20,0 и 5 мин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30.0 и 10 мин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4,5 и 1,5 мин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Основной функционально-структурной единицей паренхимы почки является: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сосудистый клубочек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капсула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Боумена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проксимальный каналец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нефрон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дистальный каналец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Начало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многочисленным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приводящим (афферентным) артериолам клубочка дают: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междолевые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артерии почки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дуговые сосуды почки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междольковые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артерии почки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почечная вена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правильно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Б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Почечная фракция минутного объема сердца в среднем составляет: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5-10%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20-25%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2-5%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30 -35%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50-55%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Высокоспецифический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протеолитический фермент-ренин секретируется: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меземгиальными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клетками клубочка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гранулярными клетками ЮГА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эпителием плотного пятна дистального отдела канальца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эпителиальными клетками проксимальных канальцев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всеми вышеперечисленными структурами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Стимуляторами секреции ренина являются: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</w:t>
            </w: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диуретики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вазодилятаторы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минералокортикоиды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адреноблокаторы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препараты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Основные процессы, происходящие в нефроне - это все перечисленное,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5 </w:t>
            </w: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фильтрации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абсорбции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реабсорбции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секреции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диффузии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счет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каких артерий осуществляется кровоснабжение головного  мозга?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наружных сонных и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позвоночных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внутренних сонных и спинальных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внутренних сонных и позвоночных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внутренних сонных и восходящих артерий шеи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наружных сонных артерий и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щито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-шейного ствола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функции осуществляет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гемато-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энцефалический</w:t>
            </w:r>
            <w:proofErr w:type="spellEnd"/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барьер?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препятствует определенным веществам покидать мозг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препятствует определенным веществам проникать в мозг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облегчает диффузию метаболитов через мозг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осуществляет фильтрацию крови из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головного мозга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блокирует поступление эритроцитов в головной мозг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Какие заболевания вызывают нарушения ГЭБ с последующими позитивными </w:t>
            </w:r>
            <w:proofErr w:type="spell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сцинтифафическими</w:t>
            </w:r>
            <w:proofErr w:type="spellEnd"/>
            <w:r w:rsidRPr="007135B1">
              <w:rPr>
                <w:rFonts w:asciiTheme="minorHAnsi" w:hAnsiTheme="minorHAnsi"/>
                <w:sz w:val="24"/>
                <w:szCs w:val="24"/>
              </w:rPr>
              <w:br/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опухоли головного мозга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черепно-мозговая травма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инсульт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метастатические поражения головного мозга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все вышеперечисленное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проведения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сциитиграфии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головного мозга обычно используется: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131-RISA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203-Нg-хлормеродрин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99m-Тс-пертехнетат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113m-In-ДТПА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99п-Тс-ДТПА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 каким патологическим последствиям приводит нарушение ГЭБ?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перфузия мозга увеличивается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перфузия мозга </w:t>
            </w: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резко уменьшается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определенные вещества имеют возможность проникать в мозг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резко уменьшатся </w:t>
            </w:r>
            <w:proofErr w:type="spellStart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оксигенация</w:t>
            </w:r>
            <w:proofErr w:type="spellEnd"/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 xml:space="preserve"> мозга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смерть вследствие аноксии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Накопление РФП в пораженных участках головного мозга  при проведении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сциитиграфии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Тс-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пертехнетатом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Тс-ДТПА обусловлено: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активным транспортом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нарушением ГЭБ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осмотическими процессами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всеми вышеперечисленными факторами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только активным транспортом и </w:t>
            </w:r>
            <w:r w:rsidRPr="007135B1">
              <w:rPr>
                <w:rFonts w:asciiTheme="minorHAnsi" w:hAnsiTheme="minorHAnsi"/>
                <w:color w:val="000000"/>
                <w:spacing w:val="-1"/>
                <w:sz w:val="24"/>
                <w:szCs w:val="24"/>
              </w:rPr>
              <w:t>нарушением ГЭБ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 xml:space="preserve"> №83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spacing w:after="195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Какие биологически активные вещества (гормоны) синтезируются в щитовидной железе?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трийодтиронин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тироксин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тироксин и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тиреоглобупин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трийодтиронин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тиреоглобулин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трийодтиронин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тиреокальцитонин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тироксин и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тиреокальцитонин</w:t>
            </w:r>
            <w:proofErr w:type="spellEnd"/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Какие субстанции связывают Т-3 и Т-4 в плазме крови?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эритроциты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электролиты 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антитела 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белки 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ферменты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каких структурах происходит образование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реверсивного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трийодтиронина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(Т-3 R)?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фолликулах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щитовидной железы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тиреоцитах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плазме крови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клетках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передней доли гипофиза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периферических соматических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клетках</w:t>
            </w:r>
            <w:proofErr w:type="gramEnd"/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каких структурах происходит конверсия тироксина в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трийодтиронин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 периферически соматических клетках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тиреоцитах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 фолликулах щитовидной железы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 плазме крови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клетках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коркового слоя надпочечников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каких клеточных структурах локализуются тканевые рецепторы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тиреоидных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гормонов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 клеточных мембранах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 лизосомах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 митохондриях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ядрах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клеток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аппарате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Гольджи</w:t>
            </w:r>
            <w:proofErr w:type="spellEnd"/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Каким образом происходит экскреция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коньюгированных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метаболитов Т-3 и Т-4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 желчью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 мочой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 потом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со слюной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 фекалиями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позитивной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остеосцинтиграфии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костных опухолей размером ≈1.5см потеря минералов в очаге поражения должна составлять величину не менее: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5 - 10 %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10 - 20 %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20 - 30 %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30 - 40 %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свыше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50 %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 течение, какого промежутка времени полностью обновляется минеральный состав скелета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0.5 года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 год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 года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2.5 года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3 года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каких отделах кости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обменные процессы протекают с наибольшей интенсивностью?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диафизах</w:t>
            </w:r>
            <w:proofErr w:type="gram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апофизах</w:t>
            </w:r>
            <w:proofErr w:type="gram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метафизах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эпифизах</w:t>
            </w:r>
            <w:proofErr w:type="gram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местах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наибольшей функциональной нагрузки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химические соединения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относятся к неорганическим фосфатным комплексам (Р-О-Р)?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дифосфонат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пирофосфат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имидофосфат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амино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-три-метилен-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дифосфат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полифосфат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№93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Какие химические соединения относятся к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органическим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фосфонатным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комплексам (P-C-P)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метилендифосфонат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этилен 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-д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иамин -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тетраметилен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фосфонат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триполифосфат</w:t>
            </w:r>
            <w:proofErr w:type="spellEnd"/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монофлюорофосфат</w:t>
            </w:r>
            <w:proofErr w:type="spellEnd"/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преимущества имеют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фосфонатные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комплексы по сравнению с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фостфатными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использовании их в качестве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остеотропных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РФП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быстрый клиренс из крови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более высокий уровень накопления в скелете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меньшая подверженность ферментативному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гидролизу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более высокая химическая устойчивость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более быстрое выведение из организма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Какой химический элемент необходим для получения стабильных фосфатно-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фосфонатных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комплексов при метке их 99m-Tc?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Tl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(таллий)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Na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(натрий)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Sn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(олово)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In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(индий)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Ca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(кальций)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Когда достигается максимальная концентрация фосфатно-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фосфонатных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комплексов в костях скелета после в\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введения?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 час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 часа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3 часа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4 часа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5 часов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Какой интервал времени после в\</w:t>
            </w:r>
            <w:proofErr w:type="gram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введения 99m-Tc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пирофосфата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характеризуется как «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васкулярная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» фаза при проведении многофазной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остеосцинтиграфии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0-60 сек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2-10 мин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10-60 мин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2-3 часа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24-25 час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Какая методика введения радиоактивного йода больному наиболее эффективна?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одноразовое введение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131-йода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дробно-фракционный метод введения 131-йода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расщепленный метод введения 131-йода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Какие параметры необходимо знать для расчета величины вводимой активности?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эффективный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период полувыведения 131-йода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поглощенную дозу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массу щитовидной железы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биологический период полувыведения 131-йода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захват 131-йода щитовидной железой через 24 часа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Какая в среднем поглощенная доза является наиболее </w:t>
            </w: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оптимальной для достижения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эутиреоидного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состояния больного?</w:t>
            </w:r>
          </w:p>
        </w:tc>
      </w:tr>
      <w:tr w:rsidR="0056155C" w:rsidRPr="007135B1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20-40 Гр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40-60 Гр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60-80 Гр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80-100 Гр</w:t>
            </w:r>
          </w:p>
        </w:tc>
      </w:tr>
      <w:tr w:rsidR="0056155C" w:rsidRPr="007135B1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6155C" w:rsidRPr="007135B1" w:rsidRDefault="007135B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6155C" w:rsidRPr="007135B1" w:rsidRDefault="007135B1">
            <w:pPr>
              <w:rPr>
                <w:rFonts w:asciiTheme="minorHAnsi" w:hAnsiTheme="minorHAnsi"/>
                <w:sz w:val="24"/>
                <w:szCs w:val="24"/>
              </w:rPr>
            </w:pPr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>гр</w:t>
            </w:r>
            <w:proofErr w:type="spellEnd"/>
            <w:r w:rsidRPr="007135B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более</w:t>
            </w:r>
          </w:p>
        </w:tc>
      </w:tr>
    </w:tbl>
    <w:p w:rsidR="0056155C" w:rsidRPr="007135B1" w:rsidRDefault="0056155C">
      <w:pPr>
        <w:rPr>
          <w:rFonts w:asciiTheme="minorHAnsi" w:hAnsiTheme="minorHAnsi"/>
          <w:sz w:val="24"/>
          <w:szCs w:val="24"/>
        </w:rPr>
      </w:pPr>
    </w:p>
    <w:sectPr w:rsidR="0056155C" w:rsidRPr="007135B1" w:rsidSect="007135B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6155C"/>
    <w:rsid w:val="0056155C"/>
    <w:rsid w:val="0071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5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5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4391</Words>
  <Characters>25029</Characters>
  <Application>Microsoft Office Word</Application>
  <DocSecurity>0</DocSecurity>
  <Lines>208</Lines>
  <Paragraphs>58</Paragraphs>
  <ScaleCrop>false</ScaleCrop>
  <Company>Медицинский информационно-аналитический центр КО</Company>
  <LinksUpToDate>false</LinksUpToDate>
  <CharactersWithSpaces>29362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2014-11-05T14:40:00Z</dcterms:created>
  <dcterms:modified xsi:type="dcterms:W3CDTF">2014-11-05T14:41:00Z</dcterms:modified>
</cp:coreProperties>
</file>